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BB" w:rsidRPr="005C4BBD" w:rsidRDefault="006858BB" w:rsidP="005C4BBD">
      <w:pPr>
        <w:rPr>
          <w:rFonts w:ascii="Verdana" w:hAnsi="Verdana"/>
          <w:sz w:val="16"/>
          <w:szCs w:val="16"/>
        </w:rPr>
      </w:pPr>
    </w:p>
    <w:p w:rsidR="00E06AE8" w:rsidRDefault="003D320E" w:rsidP="005C4BBD">
      <w:pPr>
        <w:spacing w:after="180"/>
        <w:outlineLvl w:val="2"/>
        <w:rPr>
          <w:rFonts w:ascii="Verdana" w:hAnsi="Verdana"/>
          <w:color w:val="000000"/>
          <w:sz w:val="17"/>
          <w:szCs w:val="17"/>
        </w:rPr>
      </w:pPr>
      <w:r>
        <w:rPr>
          <w:rFonts w:ascii="Verdana" w:hAnsi="Verdana"/>
          <w:noProof/>
          <w:color w:val="000000"/>
          <w:sz w:val="17"/>
          <w:szCs w:val="17"/>
          <w:lang w:val="en-US" w:eastAsia="en-US"/>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8"/>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5C4BBD">
      <w:pPr>
        <w:spacing w:after="180"/>
        <w:outlineLvl w:val="2"/>
        <w:rPr>
          <w:rFonts w:ascii="Verdana" w:hAnsi="Verdana"/>
          <w:color w:val="000000"/>
          <w:sz w:val="17"/>
          <w:szCs w:val="17"/>
        </w:rPr>
      </w:pPr>
    </w:p>
    <w:p w:rsidR="00E22EC7" w:rsidRPr="00A00B1A" w:rsidRDefault="006858BB" w:rsidP="00A00B1A">
      <w:pPr>
        <w:spacing w:after="180"/>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9"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E22EC7" w:rsidRDefault="00E22EC7" w:rsidP="00E22EC7">
      <w:pPr>
        <w:rPr>
          <w:rFonts w:eastAsia="Calibri"/>
          <w:b/>
          <w:bCs/>
          <w:i/>
          <w:iCs/>
          <w:sz w:val="32"/>
          <w:szCs w:val="32"/>
        </w:rPr>
      </w:pPr>
    </w:p>
    <w:p w:rsidR="00471197" w:rsidRDefault="00A006F2" w:rsidP="00471197">
      <w:pPr>
        <w:jc w:val="center"/>
      </w:pPr>
      <w:r>
        <w:rPr>
          <w:rFonts w:ascii="Verdana" w:hAnsi="Verdana"/>
          <w:b/>
          <w:bCs/>
          <w:color w:val="800000"/>
        </w:rPr>
        <w:t xml:space="preserve">Disminuye la </w:t>
      </w:r>
      <w:r w:rsidR="00F40961">
        <w:rPr>
          <w:rFonts w:ascii="Verdana" w:hAnsi="Verdana"/>
          <w:b/>
          <w:bCs/>
          <w:color w:val="800000"/>
        </w:rPr>
        <w:t>incertidumbre e</w:t>
      </w:r>
      <w:r>
        <w:rPr>
          <w:rFonts w:ascii="Verdana" w:hAnsi="Verdana"/>
          <w:b/>
          <w:bCs/>
          <w:color w:val="800000"/>
        </w:rPr>
        <w:t>conómica en el mes de octubre, aunque permanece muy alta la incertidumbre sobre la deuda española</w:t>
      </w:r>
      <w:r w:rsidR="00471197">
        <w:rPr>
          <w:rFonts w:ascii="Verdana" w:hAnsi="Verdana"/>
          <w:b/>
          <w:bCs/>
          <w:color w:val="800000"/>
        </w:rPr>
        <w:t>.</w:t>
      </w:r>
    </w:p>
    <w:p w:rsidR="0004151F" w:rsidRDefault="0004151F" w:rsidP="009B00DC">
      <w:pPr>
        <w:jc w:val="center"/>
        <w:rPr>
          <w:rFonts w:ascii="Calibri" w:hAnsi="Calibri"/>
          <w:sz w:val="22"/>
          <w:szCs w:val="22"/>
        </w:rPr>
      </w:pPr>
    </w:p>
    <w:p w:rsidR="00471197" w:rsidRDefault="00A006F2" w:rsidP="00471197">
      <w:pPr>
        <w:jc w:val="center"/>
        <w:rPr>
          <w:rFonts w:ascii="Verdana" w:hAnsi="Verdana"/>
          <w:i/>
          <w:iCs/>
          <w:sz w:val="20"/>
          <w:szCs w:val="20"/>
        </w:rPr>
      </w:pPr>
      <w:r>
        <w:rPr>
          <w:rStyle w:val="Strong"/>
          <w:rFonts w:ascii="Verdana" w:hAnsi="Verdana"/>
          <w:color w:val="000000"/>
          <w:sz w:val="20"/>
          <w:szCs w:val="20"/>
        </w:rPr>
        <w:t>Aunque el Índice IESE de Incertidumbre Económica disminuye 19 puntos en el mes de octubre y se sitúa en 114, todavía es muy alta la incertidumbre que existe sobre la deuda española</w:t>
      </w:r>
    </w:p>
    <w:p w:rsidR="002E74A5" w:rsidRDefault="00D1515C" w:rsidP="003F6220">
      <w:pPr>
        <w:pStyle w:val="NormalWeb"/>
        <w:spacing w:after="120" w:afterAutospacing="0" w:line="360" w:lineRule="atLeast"/>
        <w:jc w:val="both"/>
        <w:rPr>
          <w:rFonts w:ascii="Agfa Rotis Sans Serif" w:hAnsi="Agfa Rotis Sans Serif" w:cs="Arial"/>
          <w:color w:val="000000"/>
        </w:rPr>
      </w:pPr>
      <w:r w:rsidRPr="003F6220">
        <w:rPr>
          <w:rFonts w:ascii="Agfa Rotis Sans Serif" w:hAnsi="Agfa Rotis Sans Serif" w:cs="Arial"/>
          <w:color w:val="000000"/>
        </w:rPr>
        <w:t>Barcelona/Madrid, </w:t>
      </w:r>
      <w:r w:rsidR="00F40961">
        <w:rPr>
          <w:rFonts w:ascii="Agfa Rotis Sans Serif" w:hAnsi="Agfa Rotis Sans Serif" w:cs="Arial"/>
          <w:color w:val="000000"/>
        </w:rPr>
        <w:t>2 de noviembre</w:t>
      </w:r>
      <w:r w:rsidR="00471197">
        <w:rPr>
          <w:rFonts w:ascii="Agfa Rotis Sans Serif" w:hAnsi="Agfa Rotis Sans Serif" w:cs="Arial"/>
          <w:color w:val="000000"/>
        </w:rPr>
        <w:t xml:space="preserve"> </w:t>
      </w:r>
      <w:r w:rsidRPr="003F6220">
        <w:rPr>
          <w:rFonts w:ascii="Agfa Rotis Sans Serif" w:hAnsi="Agfa Rotis Sans Serif" w:cs="Arial"/>
          <w:color w:val="000000"/>
        </w:rPr>
        <w:t xml:space="preserve">de 2012 -. </w:t>
      </w:r>
      <w:r w:rsidR="002E74A5">
        <w:rPr>
          <w:rFonts w:ascii="Agfa Rotis Sans Serif" w:hAnsi="Agfa Rotis Sans Serif" w:cs="Arial"/>
          <w:color w:val="000000"/>
        </w:rPr>
        <w:t>La incertidumbre en octubre ha disminuido 19 puntos con respecto al mes de septiembre, situándose en 114 en una escala 0 - 200. </w:t>
      </w:r>
      <w:r w:rsidR="00F40961">
        <w:rPr>
          <w:rFonts w:ascii="Agfa Rotis Sans Serif" w:hAnsi="Agfa Rotis Sans Serif" w:cs="Arial"/>
          <w:color w:val="000000"/>
        </w:rPr>
        <w:t xml:space="preserve"> </w:t>
      </w:r>
      <w:r w:rsidR="002E74A5">
        <w:rPr>
          <w:rFonts w:ascii="Agfa Rotis Sans Serif" w:hAnsi="Agfa Rotis Sans Serif" w:cs="Arial"/>
          <w:color w:val="000000"/>
        </w:rPr>
        <w:t>Aunque este nivel indica una moderación en la incertidumbre económica, si analizamos sus componentes, observamos que la incertidumbre sobre la deuda española todavía permanece en un nivel muy alto de 205 puntos, a pesar de haber bajado 17 puntos este último mes. Son los demás indicadores los que experimentan una gran moderación. Así la incertidumbre sobre el petróleo ha disminuido 15 puntos situándose en 43. Nivel históricamente bajo. También la incertidumbre sobre el tipo de cambio dólar-euro ha bajado 10 puntos, de 84 a 74, mientras que la incertidumbre en el mercado de valores sigue siendo alta, habiendo bajado solo de 134 puntos a 122.</w:t>
      </w:r>
    </w:p>
    <w:p w:rsidR="00E6522E" w:rsidRDefault="003D1815" w:rsidP="003F6220">
      <w:pPr>
        <w:pStyle w:val="NormalWeb"/>
        <w:spacing w:after="120" w:afterAutospacing="0" w:line="360" w:lineRule="atLeast"/>
        <w:jc w:val="both"/>
        <w:rPr>
          <w:rFonts w:ascii="Agfa Rotis Sans Serif" w:hAnsi="Agfa Rotis Sans Serif" w:cs="Arial"/>
          <w:color w:val="000000"/>
        </w:rPr>
      </w:pPr>
      <w:r w:rsidRPr="003F6220">
        <w:rPr>
          <w:rFonts w:ascii="Agfa Rotis Sans Serif" w:hAnsi="Agfa Rotis Sans Serif" w:cs="Arial"/>
          <w:color w:val="000000"/>
        </w:rPr>
        <w:t xml:space="preserve"> “</w:t>
      </w:r>
      <w:r w:rsidR="002E74A5">
        <w:rPr>
          <w:rFonts w:ascii="Agfa Rotis Sans Serif" w:hAnsi="Agfa Rotis Sans Serif" w:cs="Arial"/>
          <w:color w:val="000000"/>
        </w:rPr>
        <w:t>Aunque se ha moderado</w:t>
      </w:r>
      <w:r w:rsidR="00E6522E">
        <w:rPr>
          <w:rFonts w:ascii="Agfa Rotis Sans Serif" w:hAnsi="Agfa Rotis Sans Serif" w:cs="Arial"/>
          <w:color w:val="000000"/>
        </w:rPr>
        <w:t>,</w:t>
      </w:r>
      <w:r w:rsidR="002E74A5">
        <w:rPr>
          <w:rFonts w:ascii="Agfa Rotis Sans Serif" w:hAnsi="Agfa Rotis Sans Serif" w:cs="Arial"/>
          <w:color w:val="000000"/>
        </w:rPr>
        <w:t xml:space="preserve"> permanece todavía alta la incertidumbre sobre la economía española. Pues la disminución del valor del Índice se debe a disminuciones de las variables que son independientes de la economía española: el tipo de cambio dólar-euro y el precio del petróleo. Mientras que las variables intrínsecamente españolas: la deuda y el mercado bursátil, todavía muestran niveles altos de incertidumbre</w:t>
      </w:r>
      <w:r w:rsidR="00471197">
        <w:rPr>
          <w:rFonts w:ascii="Agfa Rotis Sans Serif" w:hAnsi="Agfa Rotis Sans Serif" w:cs="Arial"/>
          <w:color w:val="000000"/>
        </w:rPr>
        <w:t xml:space="preserve">” </w:t>
      </w:r>
      <w:r w:rsidR="003F6220" w:rsidRPr="003F6220">
        <w:rPr>
          <w:rFonts w:ascii="Agfa Rotis Sans Serif" w:hAnsi="Agfa Rotis Sans Serif" w:cs="Arial"/>
          <w:color w:val="000000"/>
        </w:rPr>
        <w:t xml:space="preserve">afirma el profesor del IESE Miguel Angel Ariño, responsable del índice.  </w:t>
      </w:r>
    </w:p>
    <w:p w:rsidR="00E6522E" w:rsidRPr="00E6522E" w:rsidRDefault="00E6522E" w:rsidP="003F6220">
      <w:pPr>
        <w:pStyle w:val="NormalWeb"/>
        <w:spacing w:after="120" w:afterAutospacing="0" w:line="360" w:lineRule="atLeast"/>
        <w:jc w:val="both"/>
        <w:rPr>
          <w:rFonts w:ascii="Agfa Rotis Sans Serif" w:hAnsi="Agfa Rotis Sans Serif" w:cs="Arial"/>
          <w:color w:val="000000"/>
        </w:rPr>
      </w:pPr>
    </w:p>
    <w:tbl>
      <w:tblPr>
        <w:tblW w:w="6000" w:type="dxa"/>
        <w:jc w:val="center"/>
        <w:tblCellSpacing w:w="15" w:type="dxa"/>
        <w:tblCellMar>
          <w:top w:w="15" w:type="dxa"/>
          <w:left w:w="15" w:type="dxa"/>
          <w:bottom w:w="15" w:type="dxa"/>
          <w:right w:w="15" w:type="dxa"/>
        </w:tblCellMar>
        <w:tblLook w:val="000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3F6220">
            <w:pPr>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OCTUBRE</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361F54">
              <w:rPr>
                <w:rFonts w:ascii="Agfa Rotis Sans Serif" w:hAnsi="Agfa Rotis Sans Serif"/>
              </w:rPr>
              <w:t>2</w:t>
            </w:r>
          </w:p>
        </w:tc>
        <w:tc>
          <w:tcPr>
            <w:tcW w:w="695" w:type="dxa"/>
            <w:vAlign w:val="center"/>
          </w:tcPr>
          <w:p w:rsidR="00363036" w:rsidRPr="00361F54" w:rsidRDefault="003F6220" w:rsidP="005B0DF5">
            <w:pPr>
              <w:jc w:val="right"/>
              <w:rPr>
                <w:rFonts w:ascii="Agfa Rotis Sans Serif" w:hAnsi="Agfa Rotis Sans Serif"/>
                <w:b/>
              </w:rPr>
            </w:pPr>
            <w:r>
              <w:rPr>
                <w:rFonts w:ascii="Agfa Rotis Sans Serif" w:hAnsi="Agfa Rotis Sans Serif"/>
                <w:b/>
              </w:rPr>
              <w:t>1</w:t>
            </w:r>
            <w:r w:rsidR="003E2149">
              <w:rPr>
                <w:rFonts w:ascii="Agfa Rotis Sans Serif" w:hAnsi="Agfa Rotis Sans Serif"/>
                <w:b/>
              </w:rPr>
              <w:t>14</w:t>
            </w:r>
          </w:p>
        </w:tc>
      </w:tr>
      <w:tr w:rsidR="00E06AE8" w:rsidRPr="005C4BBD" w:rsidTr="00CD4C38">
        <w:trPr>
          <w:tblCellSpacing w:w="15" w:type="dxa"/>
          <w:jc w:val="center"/>
        </w:trPr>
        <w:tc>
          <w:tcPr>
            <w:tcW w:w="0" w:type="auto"/>
            <w:vAlign w:val="center"/>
          </w:tcPr>
          <w:p w:rsidR="00E06AE8" w:rsidRPr="005C4BBD" w:rsidRDefault="00E06AE8" w:rsidP="00471197">
            <w:pPr>
              <w:rPr>
                <w:rFonts w:ascii="Agfa Rotis Sans Serif" w:hAnsi="Agfa Rotis Sans Serif"/>
              </w:rPr>
            </w:pPr>
            <w:r w:rsidRPr="005C4BBD">
              <w:rPr>
                <w:rFonts w:ascii="Agfa Rotis Sans Serif" w:hAnsi="Agfa Rotis Sans Serif"/>
              </w:rPr>
              <w:t xml:space="preserve">VARIACIÓN RESPECTO A </w:t>
            </w:r>
            <w:r w:rsidR="003D320E">
              <w:rPr>
                <w:rFonts w:ascii="Agfa Rotis Sans Serif" w:hAnsi="Agfa Rotis Sans Serif"/>
              </w:rPr>
              <w:t>SEPTIEMBRE</w:t>
            </w:r>
            <w:r w:rsidR="00471197">
              <w:rPr>
                <w:rFonts w:ascii="Agfa Rotis Sans Serif" w:hAnsi="Agfa Rotis Sans Serif"/>
              </w:rPr>
              <w:t xml:space="preserve"> </w:t>
            </w:r>
            <w:r w:rsidR="00CB6A8B">
              <w:rPr>
                <w:rFonts w:ascii="Agfa Rotis Sans Serif" w:hAnsi="Agfa Rotis Sans Serif"/>
              </w:rPr>
              <w:t xml:space="preserve"> 2012</w:t>
            </w:r>
          </w:p>
        </w:tc>
        <w:tc>
          <w:tcPr>
            <w:tcW w:w="0" w:type="auto"/>
            <w:vAlign w:val="center"/>
          </w:tcPr>
          <w:p w:rsidR="00E06AE8" w:rsidRPr="003E2149" w:rsidRDefault="003E2149" w:rsidP="003E2149">
            <w:pPr>
              <w:rPr>
                <w:rFonts w:ascii="Agfa Rotis Sans Serif" w:hAnsi="Agfa Rotis Sans Serif"/>
              </w:rPr>
            </w:pPr>
            <w:r>
              <w:rPr>
                <w:rStyle w:val="Strong"/>
                <w:rFonts w:ascii="Agfa Rotis Sans Serif" w:hAnsi="Agfa Rotis Sans Serif"/>
              </w:rPr>
              <w:t xml:space="preserve">    </w:t>
            </w:r>
            <w:r w:rsidRPr="003E2149">
              <w:rPr>
                <w:rStyle w:val="Strong"/>
                <w:rFonts w:ascii="Agfa Rotis Sans Serif" w:hAnsi="Agfa Rotis Sans Serif"/>
              </w:rPr>
              <w:t>-19</w:t>
            </w:r>
          </w:p>
        </w:tc>
      </w:tr>
    </w:tbl>
    <w:p w:rsidR="00E41C57" w:rsidRDefault="00E41C57" w:rsidP="00E41C57">
      <w:pPr>
        <w:ind w:left="360"/>
        <w:rPr>
          <w:rFonts w:ascii="Agfa Rotis Sans Serif" w:hAnsi="Agfa Rotis Sans Serif"/>
          <w:sz w:val="28"/>
          <w:szCs w:val="28"/>
        </w:rPr>
      </w:pPr>
    </w:p>
    <w:p w:rsidR="00B34491" w:rsidRPr="00A33074" w:rsidRDefault="00B34491" w:rsidP="00E41C57">
      <w:pPr>
        <w:ind w:left="360"/>
        <w:rPr>
          <w:rFonts w:ascii="Agfa Rotis Sans Serif" w:hAnsi="Agfa Rotis Sans Serif"/>
          <w:sz w:val="28"/>
          <w:szCs w:val="28"/>
        </w:rPr>
      </w:pPr>
    </w:p>
    <w:p w:rsidR="00D02EF0" w:rsidRDefault="00D02EF0"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2E74A5">
      <w:pPr>
        <w:spacing w:before="100" w:beforeAutospacing="1" w:after="240" w:line="360" w:lineRule="atLeast"/>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C978CC">
      <w:pPr>
        <w:numPr>
          <w:ilvl w:val="0"/>
          <w:numId w:val="1"/>
        </w:numPr>
        <w:spacing w:before="100" w:beforeAutospacing="1" w:after="100" w:afterAutospacing="1" w:line="360" w:lineRule="atLeast"/>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574B33">
      <w:pPr>
        <w:numPr>
          <w:ilvl w:val="0"/>
          <w:numId w:val="1"/>
        </w:numPr>
        <w:spacing w:before="100" w:beforeAutospacing="1" w:after="100" w:afterAutospacing="1" w:line="360" w:lineRule="atLeast"/>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2E74A5">
      <w:pPr>
        <w:spacing w:before="100" w:beforeAutospacing="1" w:after="480" w:line="360" w:lineRule="atLeast"/>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2E74A5">
      <w:pPr>
        <w:spacing w:before="100" w:beforeAutospacing="1" w:after="480" w:line="360" w:lineRule="atLeast"/>
        <w:jc w:val="both"/>
        <w:rPr>
          <w:rFonts w:ascii="Agfa Rotis Sans Serif" w:hAnsi="Agfa Rotis Sans Serif"/>
        </w:rPr>
      </w:pPr>
      <w:r w:rsidRPr="005C4BBD">
        <w:rPr>
          <w:rFonts w:ascii="Agfa Rotis Sans Serif" w:hAnsi="Agfa Rotis Sans Serif"/>
          <w:b/>
          <w:bCs/>
        </w:rPr>
        <w:t>Valores del Índice</w:t>
      </w:r>
    </w:p>
    <w:tbl>
      <w:tblPr>
        <w:tblW w:w="6284" w:type="dxa"/>
        <w:jc w:val="center"/>
        <w:tblInd w:w="55" w:type="dxa"/>
        <w:tblCellMar>
          <w:left w:w="70" w:type="dxa"/>
          <w:right w:w="70" w:type="dxa"/>
        </w:tblCellMar>
        <w:tblLook w:val="0000"/>
      </w:tblPr>
      <w:tblGrid>
        <w:gridCol w:w="1700"/>
        <w:gridCol w:w="1050"/>
        <w:gridCol w:w="947"/>
        <w:gridCol w:w="851"/>
        <w:gridCol w:w="833"/>
        <w:gridCol w:w="903"/>
      </w:tblGrid>
      <w:tr w:rsidR="00DD7AFA" w:rsidTr="00B134B1">
        <w:trPr>
          <w:trHeight w:val="529"/>
          <w:jc w:val="center"/>
        </w:trPr>
        <w:tc>
          <w:tcPr>
            <w:tcW w:w="1700"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pPr>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Tr="00B134B1">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BF29A0">
            <w:pPr>
              <w:rPr>
                <w:rFonts w:ascii="Verdana" w:hAnsi="Verdana" w:cs="Arial"/>
                <w:b/>
                <w:bCs/>
                <w:color w:val="000000"/>
                <w:sz w:val="15"/>
                <w:szCs w:val="15"/>
              </w:rPr>
            </w:pPr>
            <w:r>
              <w:rPr>
                <w:rFonts w:ascii="Verdana" w:hAnsi="Verdana" w:cs="Arial"/>
                <w:b/>
                <w:bCs/>
                <w:color w:val="000000"/>
                <w:sz w:val="15"/>
                <w:szCs w:val="15"/>
              </w:rPr>
              <w:t>Octubre-11</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BF29A0">
            <w:pPr>
              <w:jc w:val="right"/>
              <w:rPr>
                <w:rFonts w:ascii="Verdana" w:hAnsi="Verdana" w:cs="Arial"/>
                <w:b/>
                <w:bCs/>
                <w:color w:val="000000"/>
                <w:sz w:val="16"/>
                <w:szCs w:val="16"/>
              </w:rPr>
            </w:pPr>
            <w:r>
              <w:rPr>
                <w:rFonts w:ascii="Verdana" w:hAnsi="Verdana" w:cs="Arial"/>
                <w:b/>
                <w:bCs/>
                <w:color w:val="000000"/>
                <w:sz w:val="16"/>
                <w:szCs w:val="16"/>
              </w:rPr>
              <w:t>134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BF29A0">
            <w:pPr>
              <w:jc w:val="right"/>
              <w:rPr>
                <w:rFonts w:ascii="Verdana" w:hAnsi="Verdana" w:cs="Arial"/>
                <w:color w:val="000000"/>
                <w:sz w:val="16"/>
                <w:szCs w:val="16"/>
              </w:rPr>
            </w:pPr>
            <w:r>
              <w:rPr>
                <w:rFonts w:ascii="Verdana" w:hAnsi="Verdana" w:cs="Arial"/>
                <w:color w:val="000000"/>
                <w:sz w:val="16"/>
                <w:szCs w:val="16"/>
              </w:rPr>
              <w:t>138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BF29A0">
            <w:pPr>
              <w:jc w:val="right"/>
              <w:rPr>
                <w:rFonts w:ascii="Verdana" w:hAnsi="Verdana" w:cs="Arial"/>
                <w:color w:val="000000"/>
                <w:sz w:val="16"/>
                <w:szCs w:val="16"/>
              </w:rPr>
            </w:pPr>
            <w:r>
              <w:rPr>
                <w:rFonts w:ascii="Verdana" w:hAnsi="Verdana" w:cs="Arial"/>
                <w:color w:val="000000"/>
                <w:sz w:val="16"/>
                <w:szCs w:val="16"/>
              </w:rPr>
              <w:t>125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F15438">
            <w:pPr>
              <w:jc w:val="right"/>
              <w:rPr>
                <w:rFonts w:ascii="Verdana" w:hAnsi="Verdana" w:cs="Arial"/>
                <w:color w:val="000000"/>
                <w:sz w:val="16"/>
                <w:szCs w:val="16"/>
              </w:rPr>
            </w:pPr>
            <w:r>
              <w:rPr>
                <w:rFonts w:ascii="Verdana" w:hAnsi="Verdana" w:cs="Arial"/>
                <w:color w:val="000000"/>
                <w:sz w:val="16"/>
                <w:szCs w:val="16"/>
              </w:rPr>
              <w:t>74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F15438">
            <w:pPr>
              <w:jc w:val="right"/>
              <w:rPr>
                <w:rFonts w:ascii="Verdana" w:hAnsi="Verdana" w:cs="Arial"/>
                <w:color w:val="000000"/>
                <w:sz w:val="16"/>
                <w:szCs w:val="16"/>
              </w:rPr>
            </w:pPr>
            <w:r>
              <w:rPr>
                <w:rFonts w:ascii="Verdana" w:hAnsi="Verdana" w:cs="Arial"/>
                <w:color w:val="000000"/>
                <w:sz w:val="16"/>
                <w:szCs w:val="16"/>
              </w:rPr>
              <w:t>166</w:t>
            </w:r>
          </w:p>
        </w:tc>
      </w:tr>
      <w:tr w:rsidR="00DA3018" w:rsidTr="00B134B1">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682E88">
            <w:pPr>
              <w:rPr>
                <w:rFonts w:ascii="Verdana" w:hAnsi="Verdana" w:cs="Arial"/>
                <w:b/>
                <w:bCs/>
                <w:color w:val="000000"/>
                <w:sz w:val="15"/>
                <w:szCs w:val="15"/>
              </w:rPr>
            </w:pPr>
            <w:r>
              <w:rPr>
                <w:rFonts w:ascii="Verdana" w:hAnsi="Verdana" w:cs="Arial"/>
                <w:b/>
                <w:bCs/>
                <w:color w:val="000000"/>
                <w:sz w:val="15"/>
                <w:szCs w:val="15"/>
              </w:rPr>
              <w:t>Noviembre-11</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b/>
                <w:bCs/>
                <w:color w:val="000000"/>
                <w:sz w:val="16"/>
                <w:szCs w:val="16"/>
              </w:rPr>
            </w:pPr>
            <w:r>
              <w:rPr>
                <w:rFonts w:ascii="Verdana" w:hAnsi="Verdana" w:cs="Arial"/>
                <w:b/>
                <w:bCs/>
                <w:color w:val="000000"/>
                <w:sz w:val="16"/>
                <w:szCs w:val="16"/>
              </w:rPr>
              <w:t>143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138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127</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64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202</w:t>
            </w:r>
          </w:p>
        </w:tc>
      </w:tr>
      <w:tr w:rsidR="00DA3018" w:rsidTr="00D01F62">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682E88">
            <w:pPr>
              <w:rPr>
                <w:rFonts w:ascii="Verdana" w:hAnsi="Verdana" w:cs="Arial"/>
                <w:b/>
                <w:bCs/>
                <w:color w:val="000000"/>
                <w:sz w:val="15"/>
                <w:szCs w:val="15"/>
              </w:rPr>
            </w:pPr>
            <w:r>
              <w:rPr>
                <w:rFonts w:ascii="Verdana" w:hAnsi="Verdana" w:cs="Arial"/>
                <w:b/>
                <w:bCs/>
                <w:color w:val="000000"/>
                <w:sz w:val="15"/>
                <w:szCs w:val="15"/>
              </w:rPr>
              <w:t>Diciembre-11</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b/>
                <w:bCs/>
                <w:color w:val="000000"/>
                <w:sz w:val="16"/>
                <w:szCs w:val="16"/>
              </w:rPr>
            </w:pPr>
            <w:r>
              <w:rPr>
                <w:rFonts w:ascii="Verdana" w:hAnsi="Verdana" w:cs="Arial"/>
                <w:b/>
                <w:bCs/>
                <w:color w:val="000000"/>
                <w:sz w:val="16"/>
                <w:szCs w:val="16"/>
              </w:rPr>
              <w:t>161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132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Default="00DA3018" w:rsidP="00682E88">
            <w:pPr>
              <w:jc w:val="right"/>
              <w:rPr>
                <w:rFonts w:ascii="Verdana" w:hAnsi="Verdana" w:cs="Arial"/>
                <w:color w:val="000000"/>
                <w:sz w:val="16"/>
                <w:szCs w:val="16"/>
              </w:rPr>
            </w:pPr>
            <w:r>
              <w:rPr>
                <w:rFonts w:ascii="Verdana" w:hAnsi="Verdana" w:cs="Arial"/>
                <w:color w:val="000000"/>
                <w:sz w:val="16"/>
                <w:szCs w:val="16"/>
              </w:rPr>
              <w:t>285</w:t>
            </w:r>
          </w:p>
        </w:tc>
      </w:tr>
      <w:tr w:rsidR="00DA3018" w:rsidTr="00D01F62">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3F4015">
            <w:pPr>
              <w:rPr>
                <w:rFonts w:ascii="Verdana" w:hAnsi="Verdana" w:cs="Arial"/>
                <w:b/>
                <w:bCs/>
                <w:color w:val="000000"/>
                <w:sz w:val="15"/>
                <w:szCs w:val="15"/>
              </w:rPr>
            </w:pPr>
            <w:r>
              <w:rPr>
                <w:rFonts w:ascii="Verdana" w:hAnsi="Verdana" w:cs="Arial"/>
                <w:b/>
                <w:bCs/>
                <w:color w:val="000000"/>
                <w:sz w:val="15"/>
                <w:szCs w:val="15"/>
              </w:rPr>
              <w:t>Enero-12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C90410" w:rsidRDefault="00DA3018" w:rsidP="003F4015">
            <w:pPr>
              <w:jc w:val="right"/>
              <w:rPr>
                <w:rFonts w:ascii="Verdana" w:hAnsi="Verdana" w:cs="Arial"/>
                <w:b/>
                <w:bCs/>
                <w:color w:val="000000"/>
                <w:sz w:val="15"/>
                <w:szCs w:val="15"/>
              </w:rPr>
            </w:pPr>
            <w:r w:rsidRPr="004B4AFF">
              <w:rPr>
                <w:rFonts w:ascii="Verdana" w:hAnsi="Verdana" w:cs="Arial"/>
                <w:b/>
                <w:bCs/>
                <w:color w:val="000000"/>
                <w:sz w:val="16"/>
                <w:szCs w:val="16"/>
              </w:rPr>
              <w:t>134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117</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101</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40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3F4015">
            <w:pPr>
              <w:jc w:val="right"/>
              <w:rPr>
                <w:rFonts w:ascii="Verdana" w:hAnsi="Verdana" w:cs="Arial"/>
                <w:color w:val="000000"/>
                <w:sz w:val="16"/>
                <w:szCs w:val="16"/>
              </w:rPr>
            </w:pPr>
            <w:r w:rsidRPr="004B4AFF">
              <w:rPr>
                <w:rFonts w:ascii="Verdana" w:hAnsi="Verdana" w:cs="Arial"/>
                <w:color w:val="000000"/>
                <w:sz w:val="16"/>
                <w:szCs w:val="16"/>
              </w:rPr>
              <w:t>245</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Febrero-12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121</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106</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118</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27</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213</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Marzo-12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108</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92</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30</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199</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Abril-12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124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130</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95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34</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214</w:t>
            </w:r>
          </w:p>
        </w:tc>
      </w:tr>
      <w:tr w:rsidR="00DA3018" w:rsidTr="00BF29A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Mayo-12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8F516E" w:rsidRDefault="00DA3018"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128</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75</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35</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4B4AFF" w:rsidRDefault="00DA3018" w:rsidP="002E3190">
            <w:pPr>
              <w:jc w:val="right"/>
              <w:rPr>
                <w:rFonts w:ascii="Verdana" w:hAnsi="Verdana" w:cs="Arial"/>
                <w:color w:val="000000"/>
                <w:sz w:val="16"/>
                <w:szCs w:val="16"/>
              </w:rPr>
            </w:pPr>
            <w:r>
              <w:rPr>
                <w:rFonts w:ascii="Verdana" w:hAnsi="Verdana" w:cs="Arial"/>
                <w:color w:val="000000"/>
                <w:sz w:val="16"/>
                <w:szCs w:val="16"/>
              </w:rPr>
              <w:t>205</w:t>
            </w:r>
          </w:p>
        </w:tc>
      </w:tr>
      <w:tr w:rsidR="00DA3018" w:rsidTr="00C90410">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Junio-12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sidRPr="00363036">
              <w:rPr>
                <w:rFonts w:ascii="Verdana" w:hAnsi="Verdana" w:cs="Arial"/>
                <w:b/>
                <w:bCs/>
                <w:color w:val="000000"/>
                <w:sz w:val="16"/>
                <w:szCs w:val="16"/>
              </w:rPr>
              <w:t>153</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141</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100</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79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sidRPr="00363036">
              <w:rPr>
                <w:rFonts w:ascii="Verdana" w:hAnsi="Verdana" w:cs="Arial"/>
                <w:bCs/>
                <w:color w:val="000000"/>
                <w:sz w:val="16"/>
                <w:szCs w:val="16"/>
              </w:rPr>
              <w:t>241</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Julio-12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154</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152</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94</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72</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246</w:t>
            </w:r>
          </w:p>
        </w:tc>
      </w:tr>
      <w:tr w:rsidR="00DA3018"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2E3190">
            <w:pPr>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2E3190">
            <w:pPr>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2E3190">
            <w:pPr>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2E3190">
            <w:pPr>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8F516E">
        <w:trPr>
          <w:trHeight w:val="326"/>
          <w:jc w:val="center"/>
        </w:trPr>
        <w:tc>
          <w:tcPr>
            <w:tcW w:w="1700"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2E3190">
            <w:pPr>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2E3190">
            <w:pPr>
              <w:jc w:val="right"/>
              <w:rPr>
                <w:rFonts w:ascii="Verdana" w:hAnsi="Verdana" w:cs="Arial"/>
                <w:bCs/>
                <w:color w:val="000000"/>
                <w:sz w:val="16"/>
                <w:szCs w:val="16"/>
              </w:rPr>
            </w:pPr>
            <w:r>
              <w:rPr>
                <w:rFonts w:ascii="Verdana" w:hAnsi="Verdana" w:cs="Arial"/>
                <w:bCs/>
                <w:color w:val="000000"/>
                <w:sz w:val="16"/>
                <w:szCs w:val="16"/>
              </w:rPr>
              <w:t>205</w:t>
            </w:r>
          </w:p>
        </w:tc>
      </w:tr>
    </w:tbl>
    <w:p w:rsidR="00352FF3" w:rsidRDefault="00352FF3" w:rsidP="0095569A">
      <w:pPr>
        <w:spacing w:before="300" w:after="300"/>
        <w:outlineLvl w:val="6"/>
        <w:rPr>
          <w:rFonts w:ascii="Agfa Rotis Sans Serif" w:hAnsi="Agfa Rotis Sans Serif"/>
        </w:rPr>
      </w:pPr>
    </w:p>
    <w:p w:rsidR="006858BB" w:rsidRDefault="00CC180A" w:rsidP="0034269E">
      <w:pPr>
        <w:spacing w:before="300" w:after="300"/>
        <w:ind w:left="-426" w:firstLine="426"/>
        <w:outlineLvl w:val="6"/>
        <w:rPr>
          <w:rFonts w:ascii="Agfa Rotis Sans Serif" w:hAnsi="Agfa Rotis Sans Serif"/>
          <w:b/>
          <w:bCs/>
        </w:rPr>
      </w:pPr>
      <w:r w:rsidRPr="0095569A">
        <w:rPr>
          <w:rFonts w:ascii="Agfa Rotis Sans Serif" w:hAnsi="Agfa Rotis Sans Serif"/>
          <w:b/>
          <w:bCs/>
        </w:rPr>
        <w:t xml:space="preserve">Evolución histórica del </w:t>
      </w:r>
      <w:r w:rsidR="006858BB" w:rsidRPr="0095569A">
        <w:rPr>
          <w:rFonts w:ascii="Agfa Rotis Sans Serif" w:hAnsi="Agfa Rotis Sans Serif"/>
          <w:b/>
          <w:bCs/>
        </w:rPr>
        <w:t>Índice</w:t>
      </w:r>
    </w:p>
    <w:p w:rsidR="007A0105" w:rsidRDefault="00393490" w:rsidP="00393490">
      <w:pPr>
        <w:spacing w:before="300" w:after="300"/>
        <w:ind w:left="-426" w:firstLine="426"/>
        <w:outlineLvl w:val="6"/>
        <w:rPr>
          <w:rFonts w:ascii="Agfa Rotis Sans Serif" w:hAnsi="Agfa Rotis Sans Serif"/>
          <w:b/>
          <w:bCs/>
        </w:rPr>
      </w:pPr>
      <w:r>
        <w:rPr>
          <w:rFonts w:ascii="Agfa Rotis Sans Serif" w:hAnsi="Agfa Rotis Sans Serif"/>
          <w:b/>
          <w:bCs/>
          <w:noProof/>
          <w:lang w:val="en-US" w:eastAsia="en-US"/>
        </w:rPr>
        <w:drawing>
          <wp:inline distT="0" distB="0" distL="0" distR="0">
            <wp:extent cx="5130800" cy="3628390"/>
            <wp:effectExtent l="19050" t="0" r="0" b="0"/>
            <wp:docPr id="9" name="Picture 8" descr="grafico novi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jpg"/>
                    <pic:cNvPicPr/>
                  </pic:nvPicPr>
                  <pic:blipFill>
                    <a:blip r:embed="rId10" cstate="print"/>
                    <a:stretch>
                      <a:fillRect/>
                    </a:stretch>
                  </pic:blipFill>
                  <pic:spPr>
                    <a:xfrm>
                      <a:off x="0" y="0"/>
                      <a:ext cx="5130800" cy="3628390"/>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C978CC">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7F6E0D">
      <w:pPr>
        <w:spacing w:before="100" w:beforeAutospacing="1" w:after="120" w:line="360" w:lineRule="atLeast"/>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1"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Pr="00884CE9" w:rsidRDefault="00232EE6" w:rsidP="005C4BBD">
      <w:pPr>
        <w:spacing w:before="100" w:beforeAutospacing="1" w:after="120" w:line="360" w:lineRule="atLeast"/>
        <w:rPr>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w:t>
      </w:r>
      <w:r w:rsidR="00C978CC">
        <w:rPr>
          <w:rFonts w:ascii="Agfa Rotis Sans Serif" w:hAnsi="Agfa Rotis Sans Serif"/>
        </w:rPr>
        <w:t xml:space="preserve"> </w:t>
      </w:r>
      <w:r w:rsidRPr="005C4BBD">
        <w:rPr>
          <w:rFonts w:ascii="Agfa Rotis Sans Serif" w:hAnsi="Agfa Rotis Sans Serif"/>
        </w:rPr>
        <w:t xml:space="preserve">y </w:t>
      </w:r>
      <w:r w:rsidR="00C978CC">
        <w:rPr>
          <w:rFonts w:ascii="Agfa Rotis Sans Serif" w:hAnsi="Agfa Rotis Sans Serif"/>
        </w:rPr>
        <w:t xml:space="preserve"> </w:t>
      </w:r>
      <w:r w:rsidRPr="005C4BBD">
        <w:rPr>
          <w:rFonts w:ascii="Agfa Rotis Sans Serif" w:hAnsi="Agfa Rotis Sans Serif"/>
        </w:rPr>
        <w:t xml:space="preserve">además </w:t>
      </w:r>
      <w:r w:rsidR="00C978CC">
        <w:rPr>
          <w:rFonts w:ascii="Agfa Rotis Sans Serif" w:hAnsi="Agfa Rotis Sans Serif"/>
        </w:rPr>
        <w:t xml:space="preserve"> </w:t>
      </w:r>
      <w:r w:rsidRPr="005C4BBD">
        <w:rPr>
          <w:rFonts w:ascii="Agfa Rotis Sans Serif" w:hAnsi="Agfa Rotis Sans Serif"/>
        </w:rPr>
        <w:t>de</w:t>
      </w:r>
      <w:r w:rsidR="00C978CC">
        <w:rPr>
          <w:rFonts w:ascii="Agfa Rotis Sans Serif" w:hAnsi="Agfa Rotis Sans Serif"/>
        </w:rPr>
        <w:t xml:space="preserve"> </w:t>
      </w:r>
      <w:r w:rsidRPr="005C4BBD">
        <w:rPr>
          <w:rFonts w:ascii="Agfa Rotis Sans Serif" w:hAnsi="Agfa Rotis Sans Serif"/>
        </w:rPr>
        <w:t xml:space="preserv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r w:rsidRPr="005C4BBD">
        <w:rPr>
          <w:rFonts w:ascii="Agfa Rotis Sans Serif" w:hAnsi="Agfa Rotis Sans Serif"/>
        </w:rPr>
        <w:t xml:space="preserve"> </w:t>
      </w:r>
      <w:hyperlink r:id="rId13" w:history="1">
        <w:r w:rsidR="00C978CC" w:rsidRPr="00820F3A">
          <w:rPr>
            <w:rStyle w:val="Hyperlink"/>
            <w:rFonts w:ascii="Agfa Rotis Sans Serif" w:hAnsi="Agfa Rotis Sans Serif"/>
          </w:rPr>
          <w:t>esta  pá</w:t>
        </w:r>
        <w:r w:rsidR="00C978CC" w:rsidRPr="00820F3A">
          <w:rPr>
            <w:rStyle w:val="Hyperlink"/>
            <w:rFonts w:ascii="Agfa Rotis Sans Serif" w:hAnsi="Agfa Rotis Sans Serif"/>
          </w:rPr>
          <w:t>g</w:t>
        </w:r>
        <w:r w:rsidR="00C978CC" w:rsidRPr="00820F3A">
          <w:rPr>
            <w:rStyle w:val="Hyperlink"/>
            <w:rFonts w:ascii="Agfa Rotis Sans Serif" w:hAnsi="Agfa Rotis Sans Serif"/>
          </w:rPr>
          <w:t>ina</w:t>
        </w:r>
      </w:hyperlink>
      <w:r w:rsidR="00884CE9">
        <w:rPr>
          <w:rFonts w:ascii="Agfa Rotis Sans Serif" w:hAnsi="Agfa Rotis Sans Serif"/>
        </w:rPr>
        <w:t xml:space="preserve"> </w:t>
      </w:r>
      <w:hyperlink r:id="rId14" w:history="1">
        <w:r w:rsidR="00D02EF0" w:rsidRPr="00884CE9">
          <w:rPr>
            <w:rStyle w:val="Hyperlink"/>
            <w:rFonts w:ascii="Agfa Rotis Sans Serif" w:hAnsi="Agfa Rotis Sans Serif"/>
            <w:b/>
            <w:sz w:val="22"/>
            <w:szCs w:val="22"/>
          </w:rPr>
          <w:t>http://blog.iese.ed</w:t>
        </w:r>
        <w:r w:rsidR="00D02EF0" w:rsidRPr="00884CE9">
          <w:rPr>
            <w:rStyle w:val="Hyperlink"/>
            <w:rFonts w:ascii="Agfa Rotis Sans Serif" w:hAnsi="Agfa Rotis Sans Serif"/>
            <w:b/>
            <w:sz w:val="22"/>
            <w:szCs w:val="22"/>
          </w:rPr>
          <w:t>u</w:t>
        </w:r>
        <w:r w:rsidR="00D02EF0" w:rsidRPr="00884CE9">
          <w:rPr>
            <w:rStyle w:val="Hyperlink"/>
            <w:rFonts w:ascii="Agfa Rotis Sans Serif" w:hAnsi="Agfa Rotis Sans Serif"/>
            <w:b/>
            <w:sz w:val="22"/>
            <w:szCs w:val="22"/>
          </w:rPr>
          <w:t>/icdm/i3e-2/</w:t>
        </w:r>
      </w:hyperlink>
      <w:r w:rsidR="00C978CC">
        <w:rPr>
          <w:rFonts w:ascii="Agfa Rotis Sans Serif" w:hAnsi="Agfa Rotis Sans Serif"/>
        </w:rPr>
        <w:t xml:space="preserve">,  </w:t>
      </w:r>
      <w:r w:rsidRPr="005C4BBD">
        <w:rPr>
          <w:rFonts w:ascii="Agfa Rotis Sans Serif" w:hAnsi="Agfa Rotis Sans Serif"/>
        </w:rPr>
        <w:t xml:space="preserve">puede </w:t>
      </w:r>
      <w:r w:rsidR="00C978CC">
        <w:rPr>
          <w:rFonts w:ascii="Agfa Rotis Sans Serif" w:hAnsi="Agfa Rotis Sans Serif"/>
        </w:rPr>
        <w:t xml:space="preserve"> </w:t>
      </w:r>
      <w:r w:rsidRPr="005C4BBD">
        <w:rPr>
          <w:rFonts w:ascii="Agfa Rotis Sans Serif" w:hAnsi="Agfa Rotis Sans Serif"/>
        </w:rPr>
        <w:t xml:space="preserve">también </w:t>
      </w:r>
      <w:r w:rsidR="00C978CC">
        <w:rPr>
          <w:rFonts w:ascii="Agfa Rotis Sans Serif" w:hAnsi="Agfa Rotis Sans Serif"/>
        </w:rPr>
        <w:t xml:space="preserve"> </w:t>
      </w:r>
      <w:r w:rsidRPr="005C4BBD">
        <w:rPr>
          <w:rFonts w:ascii="Agfa Rotis Sans Serif" w:hAnsi="Agfa Rotis Sans Serif"/>
        </w:rPr>
        <w:t xml:space="preserve">seguirse </w:t>
      </w:r>
      <w:r w:rsidR="00C978CC">
        <w:rPr>
          <w:rFonts w:ascii="Agfa Rotis Sans Serif" w:hAnsi="Agfa Rotis Sans Serif"/>
        </w:rPr>
        <w:t xml:space="preserve"> </w:t>
      </w:r>
      <w:r w:rsidRPr="005C4BBD">
        <w:rPr>
          <w:rFonts w:ascii="Agfa Rotis Sans Serif" w:hAnsi="Agfa Rotis Sans Serif"/>
        </w:rPr>
        <w:t>en</w:t>
      </w:r>
      <w:r w:rsidR="00C978CC">
        <w:rPr>
          <w:rFonts w:ascii="Agfa Rotis Sans Serif" w:hAnsi="Agfa Rotis Sans Serif"/>
        </w:rPr>
        <w:t xml:space="preserve"> </w:t>
      </w:r>
      <w:hyperlink r:id="rId15" w:history="1">
        <w:r w:rsidR="00C978CC" w:rsidRPr="00884CE9">
          <w:rPr>
            <w:rStyle w:val="Hyperlink"/>
            <w:rFonts w:ascii="Agfa Rotis Sans Serif" w:hAnsi="Agfa Rotis Sans Serif"/>
            <w:b/>
            <w:sz w:val="22"/>
            <w:szCs w:val="22"/>
          </w:rPr>
          <w:t>http://twitter.</w:t>
        </w:r>
        <w:r w:rsidR="00C978CC" w:rsidRPr="00884CE9">
          <w:rPr>
            <w:rStyle w:val="Hyperlink"/>
            <w:rFonts w:ascii="Agfa Rotis Sans Serif" w:hAnsi="Agfa Rotis Sans Serif"/>
            <w:b/>
            <w:sz w:val="22"/>
            <w:szCs w:val="22"/>
          </w:rPr>
          <w:t>c</w:t>
        </w:r>
        <w:r w:rsidR="00C978CC" w:rsidRPr="00884CE9">
          <w:rPr>
            <w:rStyle w:val="Hyperlink"/>
            <w:rFonts w:ascii="Agfa Rotis Sans Serif" w:hAnsi="Agfa Rotis Sans Serif"/>
            <w:b/>
            <w:sz w:val="22"/>
            <w:szCs w:val="22"/>
          </w:rPr>
          <w:t>om</w:t>
        </w:r>
        <w:r w:rsidR="00C978CC" w:rsidRPr="00884CE9">
          <w:rPr>
            <w:rStyle w:val="Hyperlink"/>
            <w:rFonts w:ascii="Agfa Rotis Sans Serif" w:hAnsi="Agfa Rotis Sans Serif"/>
            <w:b/>
            <w:sz w:val="22"/>
            <w:szCs w:val="22"/>
          </w:rPr>
          <w:t>/</w:t>
        </w:r>
        <w:r w:rsidR="00C978CC" w:rsidRPr="00884CE9">
          <w:rPr>
            <w:rStyle w:val="Hyperlink"/>
            <w:rFonts w:ascii="Agfa Rotis Sans Serif" w:hAnsi="Agfa Rotis Sans Serif"/>
            <w:b/>
            <w:sz w:val="22"/>
            <w:szCs w:val="22"/>
          </w:rPr>
          <w:t>MiguelArino</w:t>
        </w:r>
      </w:hyperlink>
    </w:p>
    <w:p w:rsidR="00CD4C38" w:rsidRPr="007F6E0D" w:rsidRDefault="0047610D" w:rsidP="005C4BBD">
      <w:pPr>
        <w:spacing w:before="100" w:beforeAutospacing="1" w:after="120" w:line="360" w:lineRule="atLeast"/>
        <w:rPr>
          <w:rFonts w:ascii="Agfa Rotis Sans Serif" w:hAnsi="Agfa Rotis Sans Serif"/>
        </w:rPr>
      </w:pPr>
      <w:r w:rsidRPr="00650EE4">
        <w:rPr>
          <w:rFonts w:ascii="Agfa Rotis Sans Serif" w:hAnsi="Agfa Rotis Sans Serif"/>
          <w:b/>
          <w:bCs/>
        </w:rPr>
        <w:t>Para más información</w:t>
      </w:r>
    </w:p>
    <w:tbl>
      <w:tblPr>
        <w:tblW w:w="5000" w:type="pct"/>
        <w:tblCellSpacing w:w="7" w:type="dxa"/>
        <w:tblCellMar>
          <w:left w:w="0" w:type="dxa"/>
          <w:right w:w="0" w:type="dxa"/>
        </w:tblCellMar>
        <w:tblLook w:val="04A0"/>
      </w:tblPr>
      <w:tblGrid>
        <w:gridCol w:w="8031"/>
        <w:gridCol w:w="106"/>
      </w:tblGrid>
      <w:tr w:rsidR="0047610D" w:rsidRPr="00AF2F04" w:rsidTr="008B3A8F">
        <w:trPr>
          <w:tblCellSpacing w:w="7" w:type="dxa"/>
        </w:trPr>
        <w:tc>
          <w:tcPr>
            <w:tcW w:w="0" w:type="auto"/>
            <w:tcMar>
              <w:top w:w="15" w:type="dxa"/>
              <w:left w:w="15" w:type="dxa"/>
              <w:bottom w:w="15" w:type="dxa"/>
              <w:right w:w="15" w:type="dxa"/>
            </w:tcMar>
            <w:vAlign w:val="center"/>
            <w:hideMark/>
          </w:tcPr>
          <w:p w:rsidR="00AF2F04" w:rsidRDefault="0047610D" w:rsidP="008B3A8F">
            <w:pPr>
              <w:rPr>
                <w:rFonts w:ascii="Agfa Rotis Sans Serif" w:hAnsi="Agfa Rotis Sans Serif"/>
                <w:color w:val="333333"/>
                <w:sz w:val="20"/>
                <w:szCs w:val="20"/>
              </w:rPr>
            </w:pPr>
            <w:r w:rsidRPr="00AF2F04">
              <w:rPr>
                <w:rFonts w:ascii="Agfa Rotis Sans Serif" w:hAnsi="Agfa Rotis Sans Serif"/>
                <w:color w:val="333333"/>
                <w:sz w:val="20"/>
                <w:szCs w:val="20"/>
              </w:rPr>
              <w:t xml:space="preserve">Ana Sesé / Clara Castillejo </w:t>
            </w:r>
            <w:r w:rsidRPr="00AF2F04">
              <w:rPr>
                <w:rFonts w:ascii="Agfa Rotis Sans Serif" w:hAnsi="Agfa Rotis Sans Serif"/>
                <w:color w:val="333333"/>
                <w:sz w:val="20"/>
                <w:szCs w:val="20"/>
              </w:rPr>
              <w:br/>
              <w:t xml:space="preserve">Dirección de Comunicación Cataluña </w:t>
            </w:r>
            <w:r w:rsidRPr="00AF2F04">
              <w:rPr>
                <w:rFonts w:ascii="Agfa Rotis Sans Serif" w:hAnsi="Agfa Rotis Sans Serif"/>
                <w:color w:val="333333"/>
                <w:sz w:val="20"/>
                <w:szCs w:val="20"/>
              </w:rPr>
              <w:br/>
              <w:t xml:space="preserve">IESE – Universidad de Navarra </w:t>
            </w:r>
            <w:r w:rsidRPr="00AF2F04">
              <w:rPr>
                <w:rFonts w:ascii="Agfa Rotis Sans Serif" w:hAnsi="Agfa Rotis Sans Serif"/>
                <w:color w:val="333333"/>
                <w:sz w:val="20"/>
                <w:szCs w:val="20"/>
              </w:rPr>
              <w:br/>
              <w:t xml:space="preserve">Tel. 93 253 64 29 / 607 214 499 </w:t>
            </w:r>
          </w:p>
          <w:p w:rsidR="0047610D" w:rsidRPr="00AF2F04" w:rsidRDefault="0047610D" w:rsidP="008B3A8F">
            <w:pPr>
              <w:rPr>
                <w:rFonts w:ascii="Agfa Rotis Sans Serif" w:eastAsia="Calibri" w:hAnsi="Agfa Rotis Sans Serif"/>
                <w:color w:val="333333"/>
                <w:sz w:val="20"/>
                <w:szCs w:val="20"/>
                <w:lang w:val="en-US"/>
              </w:rPr>
            </w:pPr>
            <w:r w:rsidRPr="00AF2F04">
              <w:rPr>
                <w:rFonts w:ascii="Agfa Rotis Sans Serif" w:hAnsi="Agfa Rotis Sans Serif"/>
                <w:color w:val="333333"/>
                <w:sz w:val="20"/>
                <w:szCs w:val="20"/>
                <w:lang w:val="en-US"/>
              </w:rPr>
              <w:t xml:space="preserve">Mail: </w:t>
            </w:r>
            <w:hyperlink r:id="rId16" w:history="1">
              <w:r w:rsidRPr="00AF2F04">
                <w:rPr>
                  <w:rStyle w:val="Hyperlink"/>
                  <w:rFonts w:ascii="Agfa Rotis Sans Serif" w:hAnsi="Agfa Rotis Sans Serif"/>
                  <w:sz w:val="20"/>
                  <w:szCs w:val="20"/>
                  <w:lang w:val="en-US"/>
                </w:rPr>
                <w:t>sese@iese.edu</w:t>
              </w:r>
            </w:hyperlink>
            <w:r w:rsidRPr="00AF2F04">
              <w:rPr>
                <w:rFonts w:ascii="Agfa Rotis Sans Serif" w:hAnsi="Agfa Rotis Sans Serif"/>
                <w:color w:val="333333"/>
                <w:sz w:val="20"/>
                <w:szCs w:val="20"/>
                <w:lang w:val="en-US"/>
              </w:rPr>
              <w:t xml:space="preserve"> / </w:t>
            </w:r>
            <w:hyperlink r:id="rId17" w:history="1">
              <w:r w:rsidRPr="00AF2F04">
                <w:rPr>
                  <w:rStyle w:val="Hyperlink"/>
                  <w:rFonts w:ascii="Agfa Rotis Sans Serif" w:hAnsi="Agfa Rotis Sans Serif"/>
                  <w:sz w:val="20"/>
                  <w:szCs w:val="20"/>
                  <w:lang w:val="en-US"/>
                </w:rPr>
                <w:t>ccastillejo@iese.edu</w:t>
              </w:r>
            </w:hyperlink>
            <w:r w:rsidRPr="00AF2F04">
              <w:rPr>
                <w:rFonts w:ascii="Agfa Rotis Sans Serif" w:hAnsi="Agfa Rotis Sans Serif"/>
                <w:color w:val="333333"/>
                <w:sz w:val="20"/>
                <w:szCs w:val="20"/>
                <w:lang w:val="en-US"/>
              </w:rPr>
              <w:br/>
            </w:r>
            <w:hyperlink r:id="rId18" w:history="1">
              <w:r w:rsidRPr="00AF2F04">
                <w:rPr>
                  <w:rStyle w:val="Hyperlink"/>
                  <w:rFonts w:ascii="Agfa Rotis Sans Serif" w:hAnsi="Agfa Rotis Sans Serif"/>
                  <w:sz w:val="20"/>
                  <w:szCs w:val="20"/>
                  <w:lang w:val="en-US"/>
                </w:rPr>
                <w:t>http://www.iese.edu/</w:t>
              </w:r>
            </w:hyperlink>
          </w:p>
        </w:tc>
        <w:tc>
          <w:tcPr>
            <w:tcW w:w="0" w:type="auto"/>
            <w:tcMar>
              <w:top w:w="15" w:type="dxa"/>
              <w:left w:w="15" w:type="dxa"/>
              <w:bottom w:w="15" w:type="dxa"/>
              <w:right w:w="15" w:type="dxa"/>
            </w:tcMar>
            <w:vAlign w:val="center"/>
            <w:hideMark/>
          </w:tcPr>
          <w:p w:rsidR="0047610D" w:rsidRPr="00AF2F04" w:rsidRDefault="0047610D" w:rsidP="008B3A8F">
            <w:pPr>
              <w:pStyle w:val="NormalWeb"/>
              <w:rPr>
                <w:rFonts w:ascii="Agfa Rotis Sans Serif" w:hAnsi="Agfa Rotis Sans Serif"/>
                <w:color w:val="333333"/>
                <w:lang w:val="en-US"/>
              </w:rPr>
            </w:pPr>
          </w:p>
        </w:tc>
      </w:tr>
    </w:tbl>
    <w:p w:rsidR="00E41C57" w:rsidRPr="00AF2F04" w:rsidRDefault="00E41C57" w:rsidP="00063A13">
      <w:pPr>
        <w:rPr>
          <w:rFonts w:ascii="Agfa Rotis Sans Serif" w:hAnsi="Agfa Rotis Sans Serif"/>
          <w:lang w:val="en-US"/>
        </w:rPr>
      </w:pPr>
    </w:p>
    <w:p w:rsidR="00F7234D" w:rsidRPr="00AF2F04" w:rsidRDefault="00F7234D" w:rsidP="00063A13">
      <w:pPr>
        <w:rPr>
          <w:rFonts w:ascii="Agfa Rotis Sans Serif" w:hAnsi="Agfa Rotis Sans Serif"/>
          <w:lang w:val="en-US"/>
        </w:rPr>
      </w:pPr>
    </w:p>
    <w:sectPr w:rsidR="00F7234D" w:rsidRPr="00AF2F04" w:rsidSect="00B34491">
      <w:footerReference w:type="even" r:id="rId19"/>
      <w:footerReference w:type="default" r:id="rId20"/>
      <w:pgSz w:w="11906" w:h="16838"/>
      <w:pgMar w:top="1418" w:right="21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61" w:rsidRDefault="00F40961">
      <w:r>
        <w:separator/>
      </w:r>
    </w:p>
  </w:endnote>
  <w:endnote w:type="continuationSeparator" w:id="1">
    <w:p w:rsidR="00F40961" w:rsidRDefault="00F409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1" w:rsidRDefault="00F40961"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961" w:rsidRDefault="00F40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1" w:rsidRDefault="00F40961" w:rsidP="00765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491">
      <w:rPr>
        <w:rStyle w:val="PageNumber"/>
        <w:noProof/>
      </w:rPr>
      <w:t>4</w:t>
    </w:r>
    <w:r>
      <w:rPr>
        <w:rStyle w:val="PageNumber"/>
      </w:rPr>
      <w:fldChar w:fldCharType="end"/>
    </w:r>
  </w:p>
  <w:p w:rsidR="00F40961" w:rsidRDefault="00F40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61" w:rsidRDefault="00F40961">
      <w:r>
        <w:separator/>
      </w:r>
    </w:p>
  </w:footnote>
  <w:footnote w:type="continuationSeparator" w:id="1">
    <w:p w:rsidR="00F40961" w:rsidRDefault="00F40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DC"/>
    <w:multiLevelType w:val="multilevel"/>
    <w:tmpl w:val="5FF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5">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9"/>
  </w:num>
  <w:num w:numId="4">
    <w:abstractNumId w:val="8"/>
  </w:num>
  <w:num w:numId="5">
    <w:abstractNumId w:val="3"/>
  </w:num>
  <w:num w:numId="6">
    <w:abstractNumId w:val="1"/>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8AA"/>
    <w:rsid w:val="00076FFD"/>
    <w:rsid w:val="00077A0A"/>
    <w:rsid w:val="0008128D"/>
    <w:rsid w:val="000821E0"/>
    <w:rsid w:val="00083FAE"/>
    <w:rsid w:val="00084055"/>
    <w:rsid w:val="000842FF"/>
    <w:rsid w:val="0008676C"/>
    <w:rsid w:val="00086A3A"/>
    <w:rsid w:val="00087026"/>
    <w:rsid w:val="000873E3"/>
    <w:rsid w:val="0009050E"/>
    <w:rsid w:val="00090642"/>
    <w:rsid w:val="0009257B"/>
    <w:rsid w:val="00093A8F"/>
    <w:rsid w:val="00096E3C"/>
    <w:rsid w:val="000973E0"/>
    <w:rsid w:val="00097E56"/>
    <w:rsid w:val="000A0C56"/>
    <w:rsid w:val="000A20E9"/>
    <w:rsid w:val="000A53DD"/>
    <w:rsid w:val="000A5836"/>
    <w:rsid w:val="000A6211"/>
    <w:rsid w:val="000A68E1"/>
    <w:rsid w:val="000A77CE"/>
    <w:rsid w:val="000A7AAD"/>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5BF9"/>
    <w:rsid w:val="00136D52"/>
    <w:rsid w:val="001378F2"/>
    <w:rsid w:val="00141F35"/>
    <w:rsid w:val="0014498A"/>
    <w:rsid w:val="00145BB6"/>
    <w:rsid w:val="00146761"/>
    <w:rsid w:val="00153017"/>
    <w:rsid w:val="001535FB"/>
    <w:rsid w:val="00153F30"/>
    <w:rsid w:val="001563C1"/>
    <w:rsid w:val="001566C6"/>
    <w:rsid w:val="00157AFD"/>
    <w:rsid w:val="00157DEE"/>
    <w:rsid w:val="00160FC9"/>
    <w:rsid w:val="00161625"/>
    <w:rsid w:val="0016197C"/>
    <w:rsid w:val="00161EE0"/>
    <w:rsid w:val="00161EF1"/>
    <w:rsid w:val="00164382"/>
    <w:rsid w:val="001644E9"/>
    <w:rsid w:val="001675E3"/>
    <w:rsid w:val="00167C4D"/>
    <w:rsid w:val="00170FB4"/>
    <w:rsid w:val="0017266D"/>
    <w:rsid w:val="00174508"/>
    <w:rsid w:val="00174642"/>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F9A"/>
    <w:rsid w:val="001B71F8"/>
    <w:rsid w:val="001B7240"/>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C45"/>
    <w:rsid w:val="002469C8"/>
    <w:rsid w:val="00246B96"/>
    <w:rsid w:val="00246D38"/>
    <w:rsid w:val="00250357"/>
    <w:rsid w:val="00250501"/>
    <w:rsid w:val="00250D98"/>
    <w:rsid w:val="0025309B"/>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65F6"/>
    <w:rsid w:val="002968C9"/>
    <w:rsid w:val="002A2104"/>
    <w:rsid w:val="002A2E8F"/>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D301F"/>
    <w:rsid w:val="002D6F66"/>
    <w:rsid w:val="002E11C5"/>
    <w:rsid w:val="002E3190"/>
    <w:rsid w:val="002E341E"/>
    <w:rsid w:val="002E6214"/>
    <w:rsid w:val="002E74A5"/>
    <w:rsid w:val="002E7EF7"/>
    <w:rsid w:val="002F1392"/>
    <w:rsid w:val="002F1487"/>
    <w:rsid w:val="002F1CB7"/>
    <w:rsid w:val="002F2560"/>
    <w:rsid w:val="002F3767"/>
    <w:rsid w:val="002F5B82"/>
    <w:rsid w:val="002F5D0B"/>
    <w:rsid w:val="002F6336"/>
    <w:rsid w:val="002F752F"/>
    <w:rsid w:val="002F75F7"/>
    <w:rsid w:val="002F7D17"/>
    <w:rsid w:val="00300479"/>
    <w:rsid w:val="00301632"/>
    <w:rsid w:val="00302176"/>
    <w:rsid w:val="0030269B"/>
    <w:rsid w:val="0030603C"/>
    <w:rsid w:val="00306381"/>
    <w:rsid w:val="0031415F"/>
    <w:rsid w:val="00314A82"/>
    <w:rsid w:val="00315997"/>
    <w:rsid w:val="0031682A"/>
    <w:rsid w:val="0032127E"/>
    <w:rsid w:val="003242AC"/>
    <w:rsid w:val="00324472"/>
    <w:rsid w:val="00325850"/>
    <w:rsid w:val="00325AB6"/>
    <w:rsid w:val="00326D8A"/>
    <w:rsid w:val="00330085"/>
    <w:rsid w:val="003300F1"/>
    <w:rsid w:val="00330BF7"/>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596F"/>
    <w:rsid w:val="003B5F90"/>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BDE"/>
    <w:rsid w:val="003E5E76"/>
    <w:rsid w:val="003E608F"/>
    <w:rsid w:val="003E6559"/>
    <w:rsid w:val="003F1A93"/>
    <w:rsid w:val="003F2924"/>
    <w:rsid w:val="003F315F"/>
    <w:rsid w:val="003F37DD"/>
    <w:rsid w:val="003F4015"/>
    <w:rsid w:val="003F5DD6"/>
    <w:rsid w:val="003F6220"/>
    <w:rsid w:val="003F64CB"/>
    <w:rsid w:val="003F72CE"/>
    <w:rsid w:val="004003E6"/>
    <w:rsid w:val="004018CC"/>
    <w:rsid w:val="00402BEB"/>
    <w:rsid w:val="00403FBC"/>
    <w:rsid w:val="00404599"/>
    <w:rsid w:val="00404C0E"/>
    <w:rsid w:val="00406A24"/>
    <w:rsid w:val="004073C7"/>
    <w:rsid w:val="00410004"/>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419F"/>
    <w:rsid w:val="00501458"/>
    <w:rsid w:val="005019DF"/>
    <w:rsid w:val="005027C2"/>
    <w:rsid w:val="005028A5"/>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662"/>
    <w:rsid w:val="00520118"/>
    <w:rsid w:val="00522C38"/>
    <w:rsid w:val="0052412B"/>
    <w:rsid w:val="00524DE4"/>
    <w:rsid w:val="005252A2"/>
    <w:rsid w:val="00525760"/>
    <w:rsid w:val="005264DC"/>
    <w:rsid w:val="00530D30"/>
    <w:rsid w:val="005318D3"/>
    <w:rsid w:val="00532133"/>
    <w:rsid w:val="005325A6"/>
    <w:rsid w:val="00532A9C"/>
    <w:rsid w:val="0053311A"/>
    <w:rsid w:val="005334C2"/>
    <w:rsid w:val="00533B1C"/>
    <w:rsid w:val="005344B8"/>
    <w:rsid w:val="005345F2"/>
    <w:rsid w:val="00535698"/>
    <w:rsid w:val="00536397"/>
    <w:rsid w:val="00536B20"/>
    <w:rsid w:val="00536EBB"/>
    <w:rsid w:val="005372FC"/>
    <w:rsid w:val="005407A5"/>
    <w:rsid w:val="005426A7"/>
    <w:rsid w:val="00542D7E"/>
    <w:rsid w:val="00545A2D"/>
    <w:rsid w:val="00545B7A"/>
    <w:rsid w:val="00547144"/>
    <w:rsid w:val="00552064"/>
    <w:rsid w:val="0055359A"/>
    <w:rsid w:val="0055376E"/>
    <w:rsid w:val="005537D6"/>
    <w:rsid w:val="005547E8"/>
    <w:rsid w:val="00554D35"/>
    <w:rsid w:val="00554E16"/>
    <w:rsid w:val="00560253"/>
    <w:rsid w:val="00560473"/>
    <w:rsid w:val="005618BA"/>
    <w:rsid w:val="00561AED"/>
    <w:rsid w:val="0056260D"/>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748"/>
    <w:rsid w:val="005B0DF5"/>
    <w:rsid w:val="005B2579"/>
    <w:rsid w:val="005B2C0A"/>
    <w:rsid w:val="005B3552"/>
    <w:rsid w:val="005B42AA"/>
    <w:rsid w:val="005B4765"/>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31AF"/>
    <w:rsid w:val="006F3CBF"/>
    <w:rsid w:val="006F675D"/>
    <w:rsid w:val="006F7E7C"/>
    <w:rsid w:val="00700CA3"/>
    <w:rsid w:val="00700F48"/>
    <w:rsid w:val="007014FD"/>
    <w:rsid w:val="0070209A"/>
    <w:rsid w:val="00703991"/>
    <w:rsid w:val="00703DA0"/>
    <w:rsid w:val="0070612E"/>
    <w:rsid w:val="00706E31"/>
    <w:rsid w:val="0070749C"/>
    <w:rsid w:val="00710F49"/>
    <w:rsid w:val="00711177"/>
    <w:rsid w:val="0071135D"/>
    <w:rsid w:val="00711D95"/>
    <w:rsid w:val="00713783"/>
    <w:rsid w:val="0071407B"/>
    <w:rsid w:val="00714BB6"/>
    <w:rsid w:val="00716FB3"/>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410B9"/>
    <w:rsid w:val="00741E1B"/>
    <w:rsid w:val="00742164"/>
    <w:rsid w:val="0074448E"/>
    <w:rsid w:val="007453BF"/>
    <w:rsid w:val="00747CBB"/>
    <w:rsid w:val="00750C10"/>
    <w:rsid w:val="00751E83"/>
    <w:rsid w:val="00752C00"/>
    <w:rsid w:val="00755671"/>
    <w:rsid w:val="00756F50"/>
    <w:rsid w:val="007572C9"/>
    <w:rsid w:val="0076073A"/>
    <w:rsid w:val="00760791"/>
    <w:rsid w:val="00761701"/>
    <w:rsid w:val="00762D99"/>
    <w:rsid w:val="0076398A"/>
    <w:rsid w:val="00763C81"/>
    <w:rsid w:val="00763F64"/>
    <w:rsid w:val="007641F0"/>
    <w:rsid w:val="00765A30"/>
    <w:rsid w:val="00765FEC"/>
    <w:rsid w:val="00766D7C"/>
    <w:rsid w:val="00766FC5"/>
    <w:rsid w:val="00767B31"/>
    <w:rsid w:val="00770170"/>
    <w:rsid w:val="00770D80"/>
    <w:rsid w:val="00771119"/>
    <w:rsid w:val="00772399"/>
    <w:rsid w:val="00774C2A"/>
    <w:rsid w:val="00775697"/>
    <w:rsid w:val="00777935"/>
    <w:rsid w:val="00777AA7"/>
    <w:rsid w:val="0078159E"/>
    <w:rsid w:val="0078189B"/>
    <w:rsid w:val="0078294D"/>
    <w:rsid w:val="0078303E"/>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52"/>
    <w:rsid w:val="007C0000"/>
    <w:rsid w:val="007C61A4"/>
    <w:rsid w:val="007D00E1"/>
    <w:rsid w:val="007D4FFB"/>
    <w:rsid w:val="007D518F"/>
    <w:rsid w:val="007D526B"/>
    <w:rsid w:val="007D7FF3"/>
    <w:rsid w:val="007E00CC"/>
    <w:rsid w:val="007E0A50"/>
    <w:rsid w:val="007E23D0"/>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E01"/>
    <w:rsid w:val="00832522"/>
    <w:rsid w:val="00833603"/>
    <w:rsid w:val="00834F25"/>
    <w:rsid w:val="0083634C"/>
    <w:rsid w:val="00837740"/>
    <w:rsid w:val="0084043D"/>
    <w:rsid w:val="008411A7"/>
    <w:rsid w:val="00841404"/>
    <w:rsid w:val="00841685"/>
    <w:rsid w:val="00842CC5"/>
    <w:rsid w:val="00843BC9"/>
    <w:rsid w:val="00844044"/>
    <w:rsid w:val="008444C2"/>
    <w:rsid w:val="00844F45"/>
    <w:rsid w:val="008459DE"/>
    <w:rsid w:val="00845CBB"/>
    <w:rsid w:val="008471B1"/>
    <w:rsid w:val="008477DC"/>
    <w:rsid w:val="00847AD0"/>
    <w:rsid w:val="00847D64"/>
    <w:rsid w:val="00847F38"/>
    <w:rsid w:val="00850FCF"/>
    <w:rsid w:val="00851A44"/>
    <w:rsid w:val="00852CEE"/>
    <w:rsid w:val="00852D0C"/>
    <w:rsid w:val="00852F97"/>
    <w:rsid w:val="008530D7"/>
    <w:rsid w:val="008532E8"/>
    <w:rsid w:val="00855AA5"/>
    <w:rsid w:val="00860394"/>
    <w:rsid w:val="00860799"/>
    <w:rsid w:val="008614A1"/>
    <w:rsid w:val="00863ADE"/>
    <w:rsid w:val="00864BD7"/>
    <w:rsid w:val="008653B1"/>
    <w:rsid w:val="00866804"/>
    <w:rsid w:val="008669C3"/>
    <w:rsid w:val="00870971"/>
    <w:rsid w:val="00870C65"/>
    <w:rsid w:val="00870CE4"/>
    <w:rsid w:val="008717EB"/>
    <w:rsid w:val="00872A51"/>
    <w:rsid w:val="00873887"/>
    <w:rsid w:val="008774A2"/>
    <w:rsid w:val="0087759C"/>
    <w:rsid w:val="00877CF8"/>
    <w:rsid w:val="00880965"/>
    <w:rsid w:val="008811F7"/>
    <w:rsid w:val="00881450"/>
    <w:rsid w:val="00882276"/>
    <w:rsid w:val="00882516"/>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B49"/>
    <w:rsid w:val="008E0F2C"/>
    <w:rsid w:val="008E12CF"/>
    <w:rsid w:val="008E12E4"/>
    <w:rsid w:val="008E13D4"/>
    <w:rsid w:val="008E25B3"/>
    <w:rsid w:val="008E27CB"/>
    <w:rsid w:val="008E2CC8"/>
    <w:rsid w:val="008E3719"/>
    <w:rsid w:val="008E406D"/>
    <w:rsid w:val="008E5DD7"/>
    <w:rsid w:val="008F0B43"/>
    <w:rsid w:val="008F3C10"/>
    <w:rsid w:val="008F516E"/>
    <w:rsid w:val="008F54DD"/>
    <w:rsid w:val="008F57B7"/>
    <w:rsid w:val="008F5BD0"/>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FF0"/>
    <w:rsid w:val="00927273"/>
    <w:rsid w:val="00932670"/>
    <w:rsid w:val="009339B3"/>
    <w:rsid w:val="0093445F"/>
    <w:rsid w:val="00936F0B"/>
    <w:rsid w:val="00941185"/>
    <w:rsid w:val="00942229"/>
    <w:rsid w:val="00944004"/>
    <w:rsid w:val="00945D02"/>
    <w:rsid w:val="00945D96"/>
    <w:rsid w:val="00946E9B"/>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D95"/>
    <w:rsid w:val="00A51230"/>
    <w:rsid w:val="00A52074"/>
    <w:rsid w:val="00A5273A"/>
    <w:rsid w:val="00A52EA4"/>
    <w:rsid w:val="00A532E8"/>
    <w:rsid w:val="00A542A8"/>
    <w:rsid w:val="00A57FCD"/>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3279"/>
    <w:rsid w:val="00AD4772"/>
    <w:rsid w:val="00AD487C"/>
    <w:rsid w:val="00AD50A5"/>
    <w:rsid w:val="00AD5DE0"/>
    <w:rsid w:val="00AD643E"/>
    <w:rsid w:val="00AD6EE3"/>
    <w:rsid w:val="00AE0EC0"/>
    <w:rsid w:val="00AE2888"/>
    <w:rsid w:val="00AE2A51"/>
    <w:rsid w:val="00AE2F2C"/>
    <w:rsid w:val="00AE3F1E"/>
    <w:rsid w:val="00AE4BDC"/>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2213F"/>
    <w:rsid w:val="00B227B4"/>
    <w:rsid w:val="00B255FD"/>
    <w:rsid w:val="00B25715"/>
    <w:rsid w:val="00B257A7"/>
    <w:rsid w:val="00B26005"/>
    <w:rsid w:val="00B2627F"/>
    <w:rsid w:val="00B2632E"/>
    <w:rsid w:val="00B26F8D"/>
    <w:rsid w:val="00B30F17"/>
    <w:rsid w:val="00B31E6B"/>
    <w:rsid w:val="00B34491"/>
    <w:rsid w:val="00B34752"/>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70C1F"/>
    <w:rsid w:val="00B728DE"/>
    <w:rsid w:val="00B73F88"/>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5130"/>
    <w:rsid w:val="00BC556D"/>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6045"/>
    <w:rsid w:val="00CF66AF"/>
    <w:rsid w:val="00CF75AE"/>
    <w:rsid w:val="00D00A1D"/>
    <w:rsid w:val="00D01F62"/>
    <w:rsid w:val="00D021F2"/>
    <w:rsid w:val="00D027D2"/>
    <w:rsid w:val="00D02EF0"/>
    <w:rsid w:val="00D05C7A"/>
    <w:rsid w:val="00D05D52"/>
    <w:rsid w:val="00D0607E"/>
    <w:rsid w:val="00D0651D"/>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7A3"/>
    <w:rsid w:val="00D77595"/>
    <w:rsid w:val="00D809C8"/>
    <w:rsid w:val="00D81C44"/>
    <w:rsid w:val="00D820DA"/>
    <w:rsid w:val="00D82780"/>
    <w:rsid w:val="00D828F8"/>
    <w:rsid w:val="00D864B2"/>
    <w:rsid w:val="00D866F9"/>
    <w:rsid w:val="00D86A7E"/>
    <w:rsid w:val="00D910A4"/>
    <w:rsid w:val="00D911DC"/>
    <w:rsid w:val="00D9179F"/>
    <w:rsid w:val="00D92534"/>
    <w:rsid w:val="00D927F0"/>
    <w:rsid w:val="00D93C7B"/>
    <w:rsid w:val="00D93FC1"/>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22EB"/>
    <w:rsid w:val="00DC2A2F"/>
    <w:rsid w:val="00DC3D21"/>
    <w:rsid w:val="00DC5234"/>
    <w:rsid w:val="00DC57FD"/>
    <w:rsid w:val="00DC6ECB"/>
    <w:rsid w:val="00DC7DAC"/>
    <w:rsid w:val="00DD077D"/>
    <w:rsid w:val="00DD0BBE"/>
    <w:rsid w:val="00DD1474"/>
    <w:rsid w:val="00DD3898"/>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E011EC"/>
    <w:rsid w:val="00E02A63"/>
    <w:rsid w:val="00E0465A"/>
    <w:rsid w:val="00E04960"/>
    <w:rsid w:val="00E04ED7"/>
    <w:rsid w:val="00E0500E"/>
    <w:rsid w:val="00E06AE8"/>
    <w:rsid w:val="00E06CDB"/>
    <w:rsid w:val="00E078A7"/>
    <w:rsid w:val="00E11F5C"/>
    <w:rsid w:val="00E12643"/>
    <w:rsid w:val="00E1465F"/>
    <w:rsid w:val="00E15099"/>
    <w:rsid w:val="00E1684E"/>
    <w:rsid w:val="00E1761D"/>
    <w:rsid w:val="00E2090B"/>
    <w:rsid w:val="00E20960"/>
    <w:rsid w:val="00E21021"/>
    <w:rsid w:val="00E22930"/>
    <w:rsid w:val="00E22EC7"/>
    <w:rsid w:val="00E2367B"/>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5DEB"/>
    <w:rsid w:val="00E973ED"/>
    <w:rsid w:val="00E97673"/>
    <w:rsid w:val="00EA08B2"/>
    <w:rsid w:val="00EA0B02"/>
    <w:rsid w:val="00EA384D"/>
    <w:rsid w:val="00EA6174"/>
    <w:rsid w:val="00EA68D3"/>
    <w:rsid w:val="00EA72A7"/>
    <w:rsid w:val="00EA7BE4"/>
    <w:rsid w:val="00EA7FB1"/>
    <w:rsid w:val="00EB13A8"/>
    <w:rsid w:val="00EB1D48"/>
    <w:rsid w:val="00EB5D6C"/>
    <w:rsid w:val="00EB606F"/>
    <w:rsid w:val="00EB753B"/>
    <w:rsid w:val="00EB7CA2"/>
    <w:rsid w:val="00EB7D8C"/>
    <w:rsid w:val="00EC0AD2"/>
    <w:rsid w:val="00EC106A"/>
    <w:rsid w:val="00EC1253"/>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40961"/>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539B"/>
    <w:rsid w:val="00F7653F"/>
    <w:rsid w:val="00F76713"/>
    <w:rsid w:val="00F81C39"/>
    <w:rsid w:val="00F83828"/>
    <w:rsid w:val="00F83DC5"/>
    <w:rsid w:val="00F85B8E"/>
    <w:rsid w:val="00F900A0"/>
    <w:rsid w:val="00F905F0"/>
    <w:rsid w:val="00F9083F"/>
    <w:rsid w:val="00F90E9C"/>
    <w:rsid w:val="00F912FF"/>
    <w:rsid w:val="00F9158B"/>
    <w:rsid w:val="00F9185E"/>
    <w:rsid w:val="00F928BF"/>
    <w:rsid w:val="00F93EE2"/>
    <w:rsid w:val="00F94073"/>
    <w:rsid w:val="00F94097"/>
    <w:rsid w:val="00F94735"/>
    <w:rsid w:val="00F94D8A"/>
    <w:rsid w:val="00F97A66"/>
    <w:rsid w:val="00FA05C6"/>
    <w:rsid w:val="00FA0958"/>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webSettings.xml><?xml version="1.0" encoding="utf-8"?>
<w:webSettings xmlns:r="http://schemas.openxmlformats.org/officeDocument/2006/relationships" xmlns:w="http://schemas.openxmlformats.org/wordprocessingml/2006/main">
  <w:divs>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ocal%20Settings/Temporary%20Internet%20Files/OLK39/esta%20%20p&#225;gina" TargetMode="External"/><Relationship Id="rId18" Type="http://schemas.openxmlformats.org/officeDocument/2006/relationships/hyperlink" Target="http://www.ies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se.edu/en/home.asp" TargetMode="External"/><Relationship Id="rId17" Type="http://schemas.openxmlformats.org/officeDocument/2006/relationships/hyperlink" Target="mailto:ccastillejo@iese.edu" TargetMode="External"/><Relationship Id="rId2" Type="http://schemas.openxmlformats.org/officeDocument/2006/relationships/numbering" Target="numbering.xml"/><Relationship Id="rId16" Type="http://schemas.openxmlformats.org/officeDocument/2006/relationships/hyperlink" Target="mailto:sese@ies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ese.edu/icdm/" TargetMode="External"/><Relationship Id="rId5" Type="http://schemas.openxmlformats.org/officeDocument/2006/relationships/webSettings" Target="webSettings.xml"/><Relationship Id="rId15" Type="http://schemas.openxmlformats.org/officeDocument/2006/relationships/hyperlink" Target="http://twitter.com/MiguelArino"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iese.edu/icdm/?page_id=198" TargetMode="External"/><Relationship Id="rId14" Type="http://schemas.openxmlformats.org/officeDocument/2006/relationships/hyperlink" Target="http://blog.iese.edu/icdm/i3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CF2B-D251-49B3-9CF8-41F16EE7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1011</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6612</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MMestres</cp:lastModifiedBy>
  <cp:revision>6</cp:revision>
  <cp:lastPrinted>2012-05-02T10:43:00Z</cp:lastPrinted>
  <dcterms:created xsi:type="dcterms:W3CDTF">2012-10-29T14:06:00Z</dcterms:created>
  <dcterms:modified xsi:type="dcterms:W3CDTF">2012-10-29T14:20:00Z</dcterms:modified>
</cp:coreProperties>
</file>