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BB" w:rsidRPr="005C4BBD" w:rsidRDefault="006858BB" w:rsidP="005C4BBD">
      <w:pPr>
        <w:rPr>
          <w:rFonts w:ascii="Verdana" w:hAnsi="Verdana"/>
          <w:sz w:val="16"/>
          <w:szCs w:val="16"/>
        </w:rPr>
      </w:pPr>
    </w:p>
    <w:p w:rsidR="00E06AE8" w:rsidRDefault="003D320E" w:rsidP="005C4BBD">
      <w:pPr>
        <w:spacing w:after="180"/>
        <w:outlineLvl w:val="2"/>
        <w:rPr>
          <w:rFonts w:ascii="Verdana" w:hAnsi="Verdana"/>
          <w:color w:val="000000"/>
          <w:sz w:val="17"/>
          <w:szCs w:val="17"/>
        </w:rPr>
      </w:pPr>
      <w:r>
        <w:rPr>
          <w:rFonts w:ascii="Verdana" w:hAnsi="Verdana"/>
          <w:noProof/>
          <w:color w:val="000000"/>
          <w:sz w:val="17"/>
          <w:szCs w:val="17"/>
          <w:lang w:val="en-US" w:eastAsia="en-US"/>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8"/>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5C4BBD">
      <w:pPr>
        <w:spacing w:after="180"/>
        <w:outlineLvl w:val="2"/>
        <w:rPr>
          <w:rFonts w:ascii="Verdana" w:hAnsi="Verdana"/>
          <w:color w:val="000000"/>
          <w:sz w:val="17"/>
          <w:szCs w:val="17"/>
        </w:rPr>
      </w:pPr>
    </w:p>
    <w:p w:rsidR="00E22EC7" w:rsidRPr="00A00B1A" w:rsidRDefault="006858BB" w:rsidP="00A00B1A">
      <w:pPr>
        <w:spacing w:after="180"/>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9"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E22EC7" w:rsidRDefault="00E22EC7" w:rsidP="00E22EC7">
      <w:pPr>
        <w:rPr>
          <w:rFonts w:eastAsia="Calibri"/>
          <w:b/>
          <w:bCs/>
          <w:i/>
          <w:iCs/>
          <w:sz w:val="32"/>
          <w:szCs w:val="32"/>
        </w:rPr>
      </w:pPr>
    </w:p>
    <w:p w:rsidR="00471197" w:rsidRDefault="00F733DA" w:rsidP="00471197">
      <w:pPr>
        <w:jc w:val="center"/>
      </w:pPr>
      <w:r>
        <w:rPr>
          <w:rFonts w:ascii="Verdana" w:hAnsi="Verdana"/>
          <w:b/>
          <w:bCs/>
          <w:color w:val="800000"/>
        </w:rPr>
        <w:t>Miguel Ángel Ariño, profesor del IESE: “</w:t>
      </w:r>
      <w:r w:rsidR="00536244">
        <w:rPr>
          <w:rFonts w:ascii="Verdana" w:hAnsi="Verdana"/>
          <w:b/>
          <w:bCs/>
          <w:color w:val="800000"/>
        </w:rPr>
        <w:t>No ha habido contagio de la situación financiera de Chipre</w:t>
      </w:r>
      <w:r>
        <w:rPr>
          <w:rFonts w:ascii="Verdana" w:hAnsi="Verdana"/>
          <w:b/>
          <w:bCs/>
          <w:color w:val="800000"/>
        </w:rPr>
        <w:t>”</w:t>
      </w:r>
    </w:p>
    <w:p w:rsidR="0004151F" w:rsidRDefault="0004151F" w:rsidP="009B00DC">
      <w:pPr>
        <w:jc w:val="center"/>
        <w:rPr>
          <w:rFonts w:ascii="Calibri" w:hAnsi="Calibri"/>
          <w:sz w:val="22"/>
          <w:szCs w:val="22"/>
        </w:rPr>
      </w:pPr>
    </w:p>
    <w:p w:rsidR="00B76736" w:rsidRDefault="00F733DA" w:rsidP="00F733DA">
      <w:pPr>
        <w:jc w:val="both"/>
        <w:rPr>
          <w:rStyle w:val="Strong"/>
        </w:rPr>
      </w:pPr>
      <w:r>
        <w:rPr>
          <w:rStyle w:val="Strong"/>
        </w:rPr>
        <w:t xml:space="preserve">El </w:t>
      </w:r>
      <w:proofErr w:type="spellStart"/>
      <w:r>
        <w:rPr>
          <w:rStyle w:val="Strong"/>
        </w:rPr>
        <w:t>prof.</w:t>
      </w:r>
      <w:proofErr w:type="spellEnd"/>
      <w:r>
        <w:rPr>
          <w:rStyle w:val="Strong"/>
        </w:rPr>
        <w:t xml:space="preserve"> del IESE Miguel Ángel Ariño señala que a pesar de las alarmas ante las turbulencias en las finanzas </w:t>
      </w:r>
      <w:proofErr w:type="spellStart"/>
      <w:r>
        <w:rPr>
          <w:rStyle w:val="Strong"/>
        </w:rPr>
        <w:t>chipriotras</w:t>
      </w:r>
      <w:proofErr w:type="spellEnd"/>
      <w:r>
        <w:rPr>
          <w:rStyle w:val="Strong"/>
        </w:rPr>
        <w:t xml:space="preserve"> el efecto en términos de incertid</w:t>
      </w:r>
      <w:r w:rsidR="00E1236C">
        <w:rPr>
          <w:rStyle w:val="Strong"/>
        </w:rPr>
        <w:t>umbre ha sido, finalmente, nulo.</w:t>
      </w:r>
    </w:p>
    <w:p w:rsidR="00F733DA" w:rsidRDefault="00F733DA" w:rsidP="00F733DA">
      <w:pPr>
        <w:jc w:val="both"/>
        <w:rPr>
          <w:rStyle w:val="Strong"/>
        </w:rPr>
      </w:pPr>
    </w:p>
    <w:p w:rsidR="00F733DA" w:rsidRDefault="00F733DA" w:rsidP="00F733DA">
      <w:pPr>
        <w:jc w:val="both"/>
      </w:pPr>
      <w:r>
        <w:rPr>
          <w:rStyle w:val="Strong"/>
        </w:rPr>
        <w:t xml:space="preserve">El Índice del IESE de Incertidumbre Económica disminuyó 19 puntos en el mes de marzo, situándose en 64 puntos </w:t>
      </w:r>
      <w:proofErr w:type="spellStart"/>
      <w:r>
        <w:rPr>
          <w:rStyle w:val="Strong"/>
        </w:rPr>
        <w:t>indicanto</w:t>
      </w:r>
      <w:proofErr w:type="spellEnd"/>
      <w:r>
        <w:rPr>
          <w:rStyle w:val="Strong"/>
        </w:rPr>
        <w:t xml:space="preserve"> que no se está produciendo el temido efecto contagio.</w:t>
      </w:r>
    </w:p>
    <w:p w:rsidR="00F733DA" w:rsidRDefault="00D1515C" w:rsidP="00D9209C">
      <w:pPr>
        <w:pStyle w:val="NormalWeb"/>
        <w:spacing w:after="120" w:afterAutospacing="0" w:line="360" w:lineRule="atLeast"/>
        <w:jc w:val="both"/>
        <w:rPr>
          <w:rFonts w:ascii="Agfa Rotis Sans Serif" w:hAnsi="Agfa Rotis Sans Serif"/>
          <w:color w:val="000000"/>
        </w:rPr>
      </w:pPr>
      <w:r w:rsidRPr="003F6220">
        <w:rPr>
          <w:rFonts w:ascii="Agfa Rotis Sans Serif" w:hAnsi="Agfa Rotis Sans Serif" w:cs="Arial"/>
          <w:color w:val="000000"/>
        </w:rPr>
        <w:t>Barcelona/Madrid, </w:t>
      </w:r>
      <w:r w:rsidR="00751E62">
        <w:rPr>
          <w:rFonts w:ascii="Agfa Rotis Sans Serif" w:hAnsi="Agfa Rotis Sans Serif" w:cs="Arial"/>
          <w:color w:val="000000"/>
        </w:rPr>
        <w:t>8</w:t>
      </w:r>
      <w:r w:rsidR="00B27377">
        <w:rPr>
          <w:rFonts w:ascii="Agfa Rotis Sans Serif" w:hAnsi="Agfa Rotis Sans Serif" w:cs="Arial"/>
          <w:color w:val="000000"/>
        </w:rPr>
        <w:t xml:space="preserve"> de abril</w:t>
      </w:r>
      <w:r w:rsidR="00471197">
        <w:rPr>
          <w:rFonts w:ascii="Agfa Rotis Sans Serif" w:hAnsi="Agfa Rotis Sans Serif" w:cs="Arial"/>
          <w:color w:val="000000"/>
        </w:rPr>
        <w:t xml:space="preserve"> </w:t>
      </w:r>
      <w:r w:rsidR="00FA0F07">
        <w:rPr>
          <w:rFonts w:ascii="Agfa Rotis Sans Serif" w:hAnsi="Agfa Rotis Sans Serif" w:cs="Arial"/>
          <w:color w:val="000000"/>
        </w:rPr>
        <w:t>de 2013</w:t>
      </w:r>
      <w:r w:rsidRPr="003F6220">
        <w:rPr>
          <w:rFonts w:ascii="Agfa Rotis Sans Serif" w:hAnsi="Agfa Rotis Sans Serif" w:cs="Arial"/>
          <w:color w:val="000000"/>
        </w:rPr>
        <w:t xml:space="preserve"> -. </w:t>
      </w:r>
      <w:r w:rsidR="00D9209C">
        <w:rPr>
          <w:rFonts w:ascii="Agfa Rotis Sans Serif" w:hAnsi="Agfa Rotis Sans Serif"/>
          <w:color w:val="000000"/>
        </w:rPr>
        <w:t xml:space="preserve">La incertidumbre económica en el mes de </w:t>
      </w:r>
      <w:r w:rsidR="00B27377">
        <w:rPr>
          <w:rFonts w:ascii="Agfa Rotis Sans Serif" w:hAnsi="Agfa Rotis Sans Serif"/>
          <w:color w:val="000000"/>
        </w:rPr>
        <w:t>marzo</w:t>
      </w:r>
      <w:r w:rsidR="0014785E">
        <w:rPr>
          <w:rFonts w:ascii="Agfa Rotis Sans Serif" w:hAnsi="Agfa Rotis Sans Serif"/>
          <w:color w:val="000000"/>
        </w:rPr>
        <w:t xml:space="preserve"> </w:t>
      </w:r>
      <w:r w:rsidR="00B27377">
        <w:rPr>
          <w:rFonts w:ascii="Agfa Rotis Sans Serif" w:hAnsi="Agfa Rotis Sans Serif"/>
          <w:color w:val="000000"/>
        </w:rPr>
        <w:t>disminuyó 19</w:t>
      </w:r>
      <w:r w:rsidR="0014785E">
        <w:rPr>
          <w:rFonts w:ascii="Agfa Rotis Sans Serif" w:hAnsi="Agfa Rotis Sans Serif"/>
          <w:color w:val="000000"/>
        </w:rPr>
        <w:t xml:space="preserve"> puntos con respecto al mes </w:t>
      </w:r>
      <w:r w:rsidR="00B27377">
        <w:rPr>
          <w:rFonts w:ascii="Agfa Rotis Sans Serif" w:hAnsi="Agfa Rotis Sans Serif"/>
          <w:color w:val="000000"/>
        </w:rPr>
        <w:t xml:space="preserve">anterior </w:t>
      </w:r>
      <w:r w:rsidR="0014785E">
        <w:rPr>
          <w:rFonts w:ascii="Agfa Rotis Sans Serif" w:hAnsi="Agfa Rotis Sans Serif"/>
          <w:color w:val="000000"/>
        </w:rPr>
        <w:t xml:space="preserve">y se sitúa en </w:t>
      </w:r>
      <w:r w:rsidR="00B27377">
        <w:rPr>
          <w:rFonts w:ascii="Agfa Rotis Sans Serif" w:hAnsi="Agfa Rotis Sans Serif"/>
          <w:color w:val="000000"/>
        </w:rPr>
        <w:t>64</w:t>
      </w:r>
      <w:r w:rsidR="0014785E">
        <w:rPr>
          <w:rFonts w:ascii="Agfa Rotis Sans Serif" w:hAnsi="Agfa Rotis Sans Serif"/>
          <w:color w:val="000000"/>
        </w:rPr>
        <w:t xml:space="preserve"> puntos </w:t>
      </w:r>
      <w:r w:rsidR="00D9209C">
        <w:rPr>
          <w:rFonts w:ascii="Agfa Rotis Sans Serif" w:hAnsi="Agfa Rotis Sans Serif"/>
          <w:color w:val="000000"/>
        </w:rPr>
        <w:t>en una escala 0 - 200.  </w:t>
      </w:r>
    </w:p>
    <w:p w:rsidR="00D9209C" w:rsidRDefault="00F733DA" w:rsidP="00D9209C">
      <w:pPr>
        <w:pStyle w:val="NormalWeb"/>
        <w:spacing w:after="120" w:afterAutospacing="0" w:line="360" w:lineRule="atLeast"/>
        <w:jc w:val="both"/>
        <w:rPr>
          <w:rFonts w:ascii="Agfa Rotis Sans Serif" w:hAnsi="Agfa Rotis Sans Serif"/>
          <w:color w:val="000000"/>
        </w:rPr>
      </w:pPr>
      <w:r>
        <w:rPr>
          <w:rFonts w:ascii="Agfa Rotis Sans Serif" w:hAnsi="Agfa Rotis Sans Serif"/>
          <w:color w:val="000000"/>
        </w:rPr>
        <w:t>En el mes de marzo la incertidumbre disminuyó en</w:t>
      </w:r>
      <w:r w:rsidR="00B27377">
        <w:rPr>
          <w:rFonts w:ascii="Agfa Rotis Sans Serif" w:hAnsi="Agfa Rotis Sans Serif"/>
          <w:color w:val="000000"/>
        </w:rPr>
        <w:t xml:space="preserve"> todos sus indicadores. </w:t>
      </w:r>
      <w:r>
        <w:rPr>
          <w:rFonts w:ascii="Agfa Rotis Sans Serif" w:hAnsi="Agfa Rotis Sans Serif"/>
          <w:color w:val="000000"/>
        </w:rPr>
        <w:t xml:space="preserve"> La disminución más significativa la encontramos en la incertidumbre sobre la deuda española que después del aumento experimentado en febrero, desciende 25 puntos, situándose en 94.</w:t>
      </w:r>
    </w:p>
    <w:p w:rsidR="00924C6D" w:rsidRDefault="00F733DA" w:rsidP="005573B7">
      <w:pPr>
        <w:pStyle w:val="NormalWeb"/>
        <w:spacing w:after="120" w:afterAutospacing="0" w:line="360" w:lineRule="atLeast"/>
        <w:jc w:val="both"/>
        <w:rPr>
          <w:rFonts w:ascii="Agfa Rotis Sans Serif" w:hAnsi="Agfa Rotis Sans Serif"/>
          <w:color w:val="000000"/>
        </w:rPr>
      </w:pPr>
      <w:r>
        <w:rPr>
          <w:rFonts w:ascii="Agfa Rotis Sans Serif" w:hAnsi="Agfa Rotis Sans Serif"/>
          <w:color w:val="000000"/>
        </w:rPr>
        <w:t xml:space="preserve">El profesor del IESE responsable del índice Miguel Ángel Ariño señala que  “este descenso deja claro que a pesar de  la alarma informativa causada, el efecto del contagio que la situación de Chipre ha tenido en España ha sido nulo”. </w:t>
      </w:r>
    </w:p>
    <w:p w:rsidR="00F733DA" w:rsidRDefault="00F733DA" w:rsidP="005573B7">
      <w:pPr>
        <w:pStyle w:val="NormalWeb"/>
        <w:spacing w:after="120" w:afterAutospacing="0" w:line="360" w:lineRule="atLeast"/>
        <w:jc w:val="both"/>
        <w:rPr>
          <w:rFonts w:ascii="Agfa Rotis Sans Serif" w:hAnsi="Agfa Rotis Sans Serif"/>
          <w:color w:val="000000"/>
        </w:rPr>
      </w:pPr>
      <w:r>
        <w:rPr>
          <w:rFonts w:ascii="Agfa Rotis Sans Serif" w:hAnsi="Agfa Rotis Sans Serif"/>
          <w:color w:val="000000"/>
        </w:rPr>
        <w:t>La incertidumbre sobre la bolsa española como la del tipo de cambio dólar-euro han disminuido en 4 y 15 puntos, situándose en unos niveles de 112 y 99 puntos respectivamente. Por su parte, la incertidumbre sobre el precio del petróleo sigue en 0 como el mes anterior.</w:t>
      </w:r>
    </w:p>
    <w:p w:rsidR="005573B7" w:rsidRPr="005573B7" w:rsidRDefault="005573B7" w:rsidP="005573B7">
      <w:pPr>
        <w:pStyle w:val="NormalWeb"/>
        <w:spacing w:after="120" w:afterAutospacing="0" w:line="360" w:lineRule="atLeast"/>
        <w:jc w:val="both"/>
        <w:rPr>
          <w:rFonts w:ascii="Agfa Rotis Sans Serif" w:hAnsi="Agfa Rotis Sans Serif"/>
          <w:color w:val="000000"/>
        </w:rPr>
      </w:pPr>
    </w:p>
    <w:tbl>
      <w:tblPr>
        <w:tblW w:w="6000" w:type="dxa"/>
        <w:jc w:val="center"/>
        <w:tblCellSpacing w:w="15" w:type="dxa"/>
        <w:tblCellMar>
          <w:top w:w="15" w:type="dxa"/>
          <w:left w:w="15" w:type="dxa"/>
          <w:bottom w:w="15" w:type="dxa"/>
          <w:right w:w="15" w:type="dxa"/>
        </w:tblCellMar>
        <w:tblLook w:val="000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E94C47">
            <w:pPr>
              <w:rPr>
                <w:rFonts w:ascii="Agfa Rotis Sans Serif" w:hAnsi="Agfa Rotis Sans Serif"/>
              </w:rPr>
            </w:pPr>
            <w:r w:rsidRPr="005C4BBD">
              <w:rPr>
                <w:rFonts w:ascii="Agfa Rotis Sans Serif" w:hAnsi="Agfa Rotis Sans Serif"/>
              </w:rPr>
              <w:t>VALOR DEL ÍNDICE EN</w:t>
            </w:r>
            <w:r w:rsidR="003D320E">
              <w:rPr>
                <w:rFonts w:ascii="Agfa Rotis Sans Serif" w:hAnsi="Agfa Rotis Sans Serif"/>
              </w:rPr>
              <w:t xml:space="preserve"> </w:t>
            </w:r>
            <w:r w:rsidR="00E94C47">
              <w:rPr>
                <w:rFonts w:ascii="Agfa Rotis Sans Serif" w:hAnsi="Agfa Rotis Sans Serif"/>
              </w:rPr>
              <w:t>MARZO</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531334">
              <w:rPr>
                <w:rFonts w:ascii="Agfa Rotis Sans Serif" w:hAnsi="Agfa Rotis Sans Serif"/>
              </w:rPr>
              <w:t>3</w:t>
            </w:r>
          </w:p>
        </w:tc>
        <w:tc>
          <w:tcPr>
            <w:tcW w:w="695" w:type="dxa"/>
            <w:vAlign w:val="center"/>
          </w:tcPr>
          <w:p w:rsidR="00363036" w:rsidRPr="00361F54" w:rsidRDefault="00E94C47" w:rsidP="005B0DF5">
            <w:pPr>
              <w:jc w:val="right"/>
              <w:rPr>
                <w:rFonts w:ascii="Agfa Rotis Sans Serif" w:hAnsi="Agfa Rotis Sans Serif"/>
                <w:b/>
              </w:rPr>
            </w:pPr>
            <w:r>
              <w:rPr>
                <w:rFonts w:ascii="Agfa Rotis Sans Serif" w:hAnsi="Agfa Rotis Sans Serif"/>
                <w:b/>
              </w:rPr>
              <w:t>64</w:t>
            </w:r>
          </w:p>
        </w:tc>
      </w:tr>
      <w:tr w:rsidR="00E06AE8" w:rsidRPr="005C4BBD" w:rsidTr="00CD4C38">
        <w:trPr>
          <w:tblCellSpacing w:w="15" w:type="dxa"/>
          <w:jc w:val="center"/>
        </w:trPr>
        <w:tc>
          <w:tcPr>
            <w:tcW w:w="0" w:type="auto"/>
            <w:vAlign w:val="center"/>
          </w:tcPr>
          <w:p w:rsidR="00E06AE8" w:rsidRPr="005C4BBD" w:rsidRDefault="00E06AE8" w:rsidP="00E94C47">
            <w:pPr>
              <w:rPr>
                <w:rFonts w:ascii="Agfa Rotis Sans Serif" w:hAnsi="Agfa Rotis Sans Serif"/>
              </w:rPr>
            </w:pPr>
            <w:r w:rsidRPr="005C4BBD">
              <w:rPr>
                <w:rFonts w:ascii="Agfa Rotis Sans Serif" w:hAnsi="Agfa Rotis Sans Serif"/>
              </w:rPr>
              <w:t xml:space="preserve">VARIACIÓN RESPECTO A </w:t>
            </w:r>
            <w:r w:rsidR="00E94C47">
              <w:rPr>
                <w:rFonts w:ascii="Agfa Rotis Sans Serif" w:hAnsi="Agfa Rotis Sans Serif"/>
              </w:rPr>
              <w:t>FEBRERO</w:t>
            </w:r>
            <w:r w:rsidR="00CB6A8B">
              <w:rPr>
                <w:rFonts w:ascii="Agfa Rotis Sans Serif" w:hAnsi="Agfa Rotis Sans Serif"/>
              </w:rPr>
              <w:t xml:space="preserve"> 201</w:t>
            </w:r>
            <w:r w:rsidR="00C50784">
              <w:rPr>
                <w:rFonts w:ascii="Agfa Rotis Sans Serif" w:hAnsi="Agfa Rotis Sans Serif"/>
              </w:rPr>
              <w:t>3</w:t>
            </w:r>
          </w:p>
        </w:tc>
        <w:tc>
          <w:tcPr>
            <w:tcW w:w="0" w:type="auto"/>
            <w:vAlign w:val="center"/>
          </w:tcPr>
          <w:p w:rsidR="00E06AE8" w:rsidRPr="003E2149" w:rsidRDefault="00E94C47" w:rsidP="00C50784">
            <w:pPr>
              <w:jc w:val="right"/>
              <w:rPr>
                <w:rFonts w:ascii="Agfa Rotis Sans Serif" w:hAnsi="Agfa Rotis Sans Serif"/>
              </w:rPr>
            </w:pPr>
            <w:r>
              <w:rPr>
                <w:rStyle w:val="Strong"/>
                <w:rFonts w:ascii="Agfa Rotis Sans Serif" w:hAnsi="Agfa Rotis Sans Serif"/>
              </w:rPr>
              <w:t>- 19</w:t>
            </w:r>
          </w:p>
        </w:tc>
      </w:tr>
    </w:tbl>
    <w:p w:rsidR="00E41C57" w:rsidRDefault="00E41C57" w:rsidP="00E41C57">
      <w:pPr>
        <w:ind w:left="360"/>
        <w:rPr>
          <w:rFonts w:ascii="Agfa Rotis Sans Serif" w:hAnsi="Agfa Rotis Sans Serif"/>
          <w:sz w:val="28"/>
          <w:szCs w:val="28"/>
        </w:rPr>
      </w:pPr>
    </w:p>
    <w:p w:rsidR="00B34491" w:rsidRPr="00A33074" w:rsidRDefault="00B34491" w:rsidP="00E41C57">
      <w:pPr>
        <w:ind w:left="360"/>
        <w:rPr>
          <w:rFonts w:ascii="Agfa Rotis Sans Serif" w:hAnsi="Agfa Rotis Sans Serif"/>
          <w:sz w:val="28"/>
          <w:szCs w:val="28"/>
        </w:rPr>
      </w:pPr>
    </w:p>
    <w:p w:rsidR="00D02EF0" w:rsidRDefault="00D02EF0" w:rsidP="00C978CC">
      <w:pPr>
        <w:spacing w:before="100" w:beforeAutospacing="1" w:after="120" w:line="360" w:lineRule="atLeast"/>
        <w:jc w:val="both"/>
        <w:rPr>
          <w:rFonts w:ascii="Agfa Rotis Sans Serif" w:hAnsi="Agfa Rotis Sans Serif"/>
        </w:rPr>
      </w:pPr>
      <w:r w:rsidRPr="00D64A7F">
        <w:rPr>
          <w:rFonts w:ascii="Agfa Rotis Sans Serif" w:hAnsi="Agfa Rotis Sans Serif"/>
        </w:rPr>
        <w:lastRenderedPageBreak/>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El índice está ajustado de modo que su valor medio en la década 2000-2009 es de 100. En la 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2E74A5">
      <w:pPr>
        <w:spacing w:before="100" w:beforeAutospacing="1" w:after="240" w:line="360" w:lineRule="atLeast"/>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574B33">
      <w:pPr>
        <w:numPr>
          <w:ilvl w:val="0"/>
          <w:numId w:val="1"/>
        </w:numPr>
        <w:spacing w:before="100" w:beforeAutospacing="1" w:after="100" w:afterAutospacing="1" w:line="360" w:lineRule="atLeast"/>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2E74A5" w:rsidRDefault="006858BB" w:rsidP="002E74A5">
      <w:pPr>
        <w:spacing w:before="100" w:beforeAutospacing="1" w:after="480" w:line="360" w:lineRule="atLeast"/>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2E74A5">
      <w:pPr>
        <w:spacing w:before="100" w:beforeAutospacing="1" w:after="480" w:line="360" w:lineRule="atLeast"/>
        <w:jc w:val="both"/>
        <w:rPr>
          <w:rFonts w:ascii="Agfa Rotis Sans Serif" w:hAnsi="Agfa Rotis Sans Serif"/>
        </w:rPr>
      </w:pPr>
      <w:r w:rsidRPr="005C4BBD">
        <w:rPr>
          <w:rFonts w:ascii="Agfa Rotis Sans Serif" w:hAnsi="Agfa Rotis Sans Serif"/>
          <w:b/>
          <w:bCs/>
        </w:rPr>
        <w:t>Valores del Índice</w:t>
      </w:r>
    </w:p>
    <w:tbl>
      <w:tblPr>
        <w:tblW w:w="6284" w:type="dxa"/>
        <w:jc w:val="center"/>
        <w:tblInd w:w="55" w:type="dxa"/>
        <w:tblCellMar>
          <w:left w:w="70" w:type="dxa"/>
          <w:right w:w="70" w:type="dxa"/>
        </w:tblCellMar>
        <w:tblLook w:val="0000"/>
      </w:tblPr>
      <w:tblGrid>
        <w:gridCol w:w="1700"/>
        <w:gridCol w:w="1050"/>
        <w:gridCol w:w="947"/>
        <w:gridCol w:w="851"/>
        <w:gridCol w:w="833"/>
        <w:gridCol w:w="903"/>
      </w:tblGrid>
      <w:tr w:rsidR="00DD7AFA" w:rsidTr="00B134B1">
        <w:trPr>
          <w:trHeight w:val="529"/>
          <w:jc w:val="center"/>
        </w:trPr>
        <w:tc>
          <w:tcPr>
            <w:tcW w:w="1700"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Marzo-12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108</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104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92</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30</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199</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Abril-12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124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130</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95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34</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214</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Mayo-12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128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75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35</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205</w:t>
            </w:r>
          </w:p>
        </w:tc>
      </w:tr>
      <w:tr w:rsidR="00DA3018" w:rsidTr="00C9041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Junio-12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sidRPr="00363036">
              <w:rPr>
                <w:rFonts w:ascii="Verdana" w:hAnsi="Verdana" w:cs="Arial"/>
                <w:b/>
                <w:bCs/>
                <w:color w:val="000000"/>
                <w:sz w:val="16"/>
                <w:szCs w:val="16"/>
              </w:rPr>
              <w:t>153</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141</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100</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79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241</w:t>
            </w:r>
          </w:p>
        </w:tc>
      </w:tr>
      <w:tr w:rsidR="00DA3018"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Julio-12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Pr>
                <w:rFonts w:ascii="Verdana" w:hAnsi="Verdana" w:cs="Arial"/>
                <w:b/>
                <w:bCs/>
                <w:color w:val="000000"/>
                <w:sz w:val="16"/>
                <w:szCs w:val="16"/>
              </w:rPr>
              <w:t>154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152</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94</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72</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246</w:t>
            </w:r>
          </w:p>
        </w:tc>
      </w:tr>
      <w:tr w:rsidR="00DA3018"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Agosto-12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Pr>
                <w:rFonts w:ascii="Verdana" w:hAnsi="Verdana" w:cs="Arial"/>
                <w:b/>
                <w:bCs/>
                <w:color w:val="000000"/>
                <w:sz w:val="16"/>
                <w:szCs w:val="16"/>
              </w:rPr>
              <w:t>129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144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39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218</w:t>
            </w:r>
          </w:p>
        </w:tc>
      </w:tr>
      <w:tr w:rsidR="00471197"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471197" w:rsidRDefault="00471197" w:rsidP="002E3190">
            <w:pPr>
              <w:rPr>
                <w:rFonts w:ascii="Verdana" w:hAnsi="Verdana" w:cs="Arial"/>
                <w:b/>
                <w:bCs/>
                <w:color w:val="000000"/>
                <w:sz w:val="15"/>
                <w:szCs w:val="15"/>
              </w:rPr>
            </w:pPr>
            <w:r>
              <w:rPr>
                <w:rFonts w:ascii="Verdana" w:hAnsi="Verdana" w:cs="Arial"/>
                <w:b/>
                <w:bCs/>
                <w:color w:val="000000"/>
                <w:sz w:val="15"/>
                <w:szCs w:val="15"/>
              </w:rPr>
              <w:t>Septiembre-12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
                <w:bCs/>
                <w:color w:val="000000"/>
                <w:sz w:val="16"/>
                <w:szCs w:val="16"/>
              </w:rPr>
            </w:pPr>
            <w:r>
              <w:rPr>
                <w:rFonts w:ascii="Verdana" w:hAnsi="Verdana" w:cs="Arial"/>
                <w:b/>
                <w:bCs/>
                <w:color w:val="000000"/>
                <w:sz w:val="16"/>
                <w:szCs w:val="16"/>
              </w:rPr>
              <w:t>133</w:t>
            </w:r>
          </w:p>
        </w:tc>
        <w:tc>
          <w:tcPr>
            <w:tcW w:w="947"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134</w:t>
            </w:r>
          </w:p>
        </w:tc>
        <w:tc>
          <w:tcPr>
            <w:tcW w:w="851"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58</w:t>
            </w:r>
          </w:p>
        </w:tc>
        <w:tc>
          <w:tcPr>
            <w:tcW w:w="90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222</w:t>
            </w:r>
          </w:p>
        </w:tc>
      </w:tr>
      <w:tr w:rsidR="002E74A5"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2E3190">
            <w:pPr>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205</w:t>
            </w:r>
          </w:p>
        </w:tc>
      </w:tr>
      <w:tr w:rsidR="00311467"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311467" w:rsidRDefault="00311467" w:rsidP="002E3190">
            <w:pPr>
              <w:rPr>
                <w:rFonts w:ascii="Verdana" w:hAnsi="Verdana" w:cs="Arial"/>
                <w:b/>
                <w:bCs/>
                <w:color w:val="000000"/>
                <w:sz w:val="15"/>
                <w:szCs w:val="15"/>
              </w:rPr>
            </w:pPr>
            <w:r>
              <w:rPr>
                <w:rFonts w:ascii="Verdana" w:hAnsi="Verdana" w:cs="Arial"/>
                <w:b/>
                <w:bCs/>
                <w:color w:val="000000"/>
                <w:sz w:val="15"/>
                <w:szCs w:val="15"/>
              </w:rPr>
              <w:t>Noviembre-12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
                <w:bCs/>
                <w:color w:val="000000"/>
                <w:sz w:val="16"/>
                <w:szCs w:val="16"/>
              </w:rPr>
            </w:pPr>
            <w:r>
              <w:rPr>
                <w:rFonts w:ascii="Verdana" w:hAnsi="Verdana" w:cs="Arial"/>
                <w:b/>
                <w:bCs/>
                <w:color w:val="000000"/>
                <w:sz w:val="16"/>
                <w:szCs w:val="16"/>
              </w:rPr>
              <w:t>94</w:t>
            </w:r>
          </w:p>
        </w:tc>
        <w:tc>
          <w:tcPr>
            <w:tcW w:w="947"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59</w:t>
            </w:r>
          </w:p>
        </w:tc>
        <w:tc>
          <w:tcPr>
            <w:tcW w:w="83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46</w:t>
            </w:r>
          </w:p>
        </w:tc>
        <w:tc>
          <w:tcPr>
            <w:tcW w:w="90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172</w:t>
            </w:r>
          </w:p>
        </w:tc>
      </w:tr>
      <w:tr w:rsidR="001B619A"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1B619A" w:rsidRDefault="001B619A" w:rsidP="002E3190">
            <w:pPr>
              <w:rPr>
                <w:rFonts w:ascii="Verdana" w:hAnsi="Verdana" w:cs="Arial"/>
                <w:b/>
                <w:bCs/>
                <w:color w:val="000000"/>
                <w:sz w:val="15"/>
                <w:szCs w:val="15"/>
              </w:rPr>
            </w:pPr>
            <w:r>
              <w:rPr>
                <w:rFonts w:ascii="Verdana" w:hAnsi="Verdana" w:cs="Arial"/>
                <w:b/>
                <w:bCs/>
                <w:color w:val="000000"/>
                <w:sz w:val="15"/>
                <w:szCs w:val="15"/>
              </w:rPr>
              <w:t>Diciembre</w:t>
            </w:r>
            <w:r w:rsidR="001E2F2F">
              <w:rPr>
                <w:rFonts w:ascii="Verdana" w:hAnsi="Verdana" w:cs="Arial"/>
                <w:b/>
                <w:bCs/>
                <w:color w:val="000000"/>
                <w:sz w:val="15"/>
                <w:szCs w:val="15"/>
              </w:rPr>
              <w:t>-12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
                <w:bCs/>
                <w:color w:val="000000"/>
                <w:sz w:val="16"/>
                <w:szCs w:val="16"/>
              </w:rPr>
            </w:pPr>
            <w:r>
              <w:rPr>
                <w:rFonts w:ascii="Verdana" w:hAnsi="Verdana" w:cs="Arial"/>
                <w:b/>
                <w:bCs/>
                <w:color w:val="000000"/>
                <w:sz w:val="16"/>
                <w:szCs w:val="16"/>
              </w:rPr>
              <w:t>69</w:t>
            </w:r>
          </w:p>
        </w:tc>
        <w:tc>
          <w:tcPr>
            <w:tcW w:w="947"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Cs/>
                <w:color w:val="000000"/>
                <w:sz w:val="16"/>
                <w:szCs w:val="16"/>
              </w:rPr>
            </w:pPr>
            <w:r>
              <w:rPr>
                <w:rFonts w:ascii="Verdana" w:hAnsi="Verdana" w:cs="Arial"/>
                <w:bCs/>
                <w:color w:val="000000"/>
                <w:sz w:val="16"/>
                <w:szCs w:val="16"/>
              </w:rPr>
              <w:t>70</w:t>
            </w:r>
          </w:p>
        </w:tc>
        <w:tc>
          <w:tcPr>
            <w:tcW w:w="83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Cs/>
                <w:color w:val="000000"/>
                <w:sz w:val="16"/>
                <w:szCs w:val="16"/>
              </w:rPr>
            </w:pPr>
            <w:r>
              <w:rPr>
                <w:rFonts w:ascii="Verdana" w:hAnsi="Verdana" w:cs="Arial"/>
                <w:bCs/>
                <w:color w:val="000000"/>
                <w:sz w:val="16"/>
                <w:szCs w:val="16"/>
              </w:rPr>
              <w:t>19</w:t>
            </w:r>
          </w:p>
        </w:tc>
        <w:tc>
          <w:tcPr>
            <w:tcW w:w="90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Cs/>
                <w:color w:val="000000"/>
                <w:sz w:val="16"/>
                <w:szCs w:val="16"/>
              </w:rPr>
            </w:pPr>
            <w:r>
              <w:rPr>
                <w:rFonts w:ascii="Verdana" w:hAnsi="Verdana" w:cs="Arial"/>
                <w:bCs/>
                <w:color w:val="000000"/>
                <w:sz w:val="16"/>
                <w:szCs w:val="16"/>
              </w:rPr>
              <w:t>129</w:t>
            </w:r>
          </w:p>
        </w:tc>
      </w:tr>
      <w:tr w:rsidR="00C958A9"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C958A9" w:rsidRDefault="00C958A9" w:rsidP="002E3190">
            <w:pPr>
              <w:rPr>
                <w:rFonts w:ascii="Verdana" w:hAnsi="Verdana" w:cs="Arial"/>
                <w:b/>
                <w:bCs/>
                <w:color w:val="000000"/>
                <w:sz w:val="15"/>
                <w:szCs w:val="15"/>
              </w:rPr>
            </w:pPr>
            <w:r>
              <w:rPr>
                <w:rFonts w:ascii="Verdana" w:hAnsi="Verdana" w:cs="Arial"/>
                <w:b/>
                <w:bCs/>
                <w:color w:val="000000"/>
                <w:sz w:val="15"/>
                <w:szCs w:val="15"/>
              </w:rPr>
              <w:t>Enero-13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
                <w:bCs/>
                <w:color w:val="000000"/>
                <w:sz w:val="16"/>
                <w:szCs w:val="16"/>
              </w:rPr>
            </w:pPr>
            <w:r>
              <w:rPr>
                <w:rFonts w:ascii="Verdana" w:hAnsi="Verdana" w:cs="Arial"/>
                <w:b/>
                <w:bCs/>
                <w:color w:val="000000"/>
                <w:sz w:val="16"/>
                <w:szCs w:val="16"/>
              </w:rPr>
              <w:t>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Cs/>
                <w:color w:val="000000"/>
                <w:sz w:val="16"/>
                <w:szCs w:val="16"/>
              </w:rPr>
            </w:pPr>
            <w:r>
              <w:rPr>
                <w:rFonts w:ascii="Verdana" w:hAnsi="Verdana" w:cs="Arial"/>
                <w:bCs/>
                <w:color w:val="000000"/>
                <w:sz w:val="16"/>
                <w:szCs w:val="16"/>
              </w:rPr>
              <w:t>84</w:t>
            </w:r>
          </w:p>
        </w:tc>
        <w:tc>
          <w:tcPr>
            <w:tcW w:w="851"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Cs/>
                <w:color w:val="000000"/>
                <w:sz w:val="16"/>
                <w:szCs w:val="16"/>
              </w:rPr>
            </w:pPr>
            <w:r>
              <w:rPr>
                <w:rFonts w:ascii="Verdana" w:hAnsi="Verdana" w:cs="Arial"/>
                <w:bCs/>
                <w:color w:val="000000"/>
                <w:sz w:val="16"/>
                <w:szCs w:val="16"/>
              </w:rPr>
              <w:t>9</w:t>
            </w:r>
          </w:p>
        </w:tc>
        <w:tc>
          <w:tcPr>
            <w:tcW w:w="90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Cs/>
                <w:color w:val="000000"/>
                <w:sz w:val="16"/>
                <w:szCs w:val="16"/>
              </w:rPr>
            </w:pPr>
            <w:r>
              <w:rPr>
                <w:rFonts w:ascii="Verdana" w:hAnsi="Verdana" w:cs="Arial"/>
                <w:bCs/>
                <w:color w:val="000000"/>
                <w:sz w:val="16"/>
                <w:szCs w:val="16"/>
              </w:rPr>
              <w:t>105</w:t>
            </w:r>
          </w:p>
        </w:tc>
      </w:tr>
      <w:tr w:rsidR="008E047B"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8E047B" w:rsidRDefault="008E047B" w:rsidP="002E3190">
            <w:pPr>
              <w:rPr>
                <w:rFonts w:ascii="Verdana" w:hAnsi="Verdana" w:cs="Arial"/>
                <w:b/>
                <w:bCs/>
                <w:color w:val="000000"/>
                <w:sz w:val="15"/>
                <w:szCs w:val="15"/>
              </w:rPr>
            </w:pPr>
            <w:r>
              <w:rPr>
                <w:rFonts w:ascii="Verdana" w:hAnsi="Verdana" w:cs="Arial"/>
                <w:b/>
                <w:bCs/>
                <w:color w:val="000000"/>
                <w:sz w:val="15"/>
                <w:szCs w:val="15"/>
              </w:rPr>
              <w:t>Febrero-13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
                <w:bCs/>
                <w:color w:val="000000"/>
                <w:sz w:val="16"/>
                <w:szCs w:val="16"/>
              </w:rPr>
            </w:pPr>
            <w:r>
              <w:rPr>
                <w:rFonts w:ascii="Verdana" w:hAnsi="Verdana" w:cs="Arial"/>
                <w:b/>
                <w:bCs/>
                <w:color w:val="000000"/>
                <w:sz w:val="16"/>
                <w:szCs w:val="16"/>
              </w:rPr>
              <w:t>83</w:t>
            </w:r>
          </w:p>
        </w:tc>
        <w:tc>
          <w:tcPr>
            <w:tcW w:w="947"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Cs/>
                <w:color w:val="000000"/>
                <w:sz w:val="16"/>
                <w:szCs w:val="16"/>
              </w:rPr>
            </w:pPr>
            <w:r>
              <w:rPr>
                <w:rFonts w:ascii="Verdana" w:hAnsi="Verdana" w:cs="Arial"/>
                <w:bCs/>
                <w:color w:val="000000"/>
                <w:sz w:val="16"/>
                <w:szCs w:val="16"/>
              </w:rPr>
              <w:t>116</w:t>
            </w:r>
          </w:p>
        </w:tc>
        <w:tc>
          <w:tcPr>
            <w:tcW w:w="851"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Cs/>
                <w:color w:val="000000"/>
                <w:sz w:val="16"/>
                <w:szCs w:val="16"/>
              </w:rPr>
            </w:pPr>
            <w:r>
              <w:rPr>
                <w:rFonts w:ascii="Verdana" w:hAnsi="Verdana" w:cs="Arial"/>
                <w:bCs/>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Cs/>
                <w:color w:val="000000"/>
                <w:sz w:val="16"/>
                <w:szCs w:val="16"/>
              </w:rPr>
            </w:pPr>
            <w:r>
              <w:rPr>
                <w:rFonts w:ascii="Verdana" w:hAnsi="Verdana" w:cs="Arial"/>
                <w:bCs/>
                <w:color w:val="000000"/>
                <w:sz w:val="16"/>
                <w:szCs w:val="16"/>
              </w:rPr>
              <w:t>119</w:t>
            </w:r>
          </w:p>
        </w:tc>
      </w:tr>
      <w:tr w:rsidR="00536244"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536244" w:rsidRDefault="00536244" w:rsidP="002E3190">
            <w:pPr>
              <w:rPr>
                <w:rFonts w:ascii="Verdana" w:hAnsi="Verdana" w:cs="Arial"/>
                <w:b/>
                <w:bCs/>
                <w:color w:val="000000"/>
                <w:sz w:val="15"/>
                <w:szCs w:val="15"/>
              </w:rPr>
            </w:pPr>
            <w:r>
              <w:rPr>
                <w:rFonts w:ascii="Verdana" w:hAnsi="Verdana" w:cs="Arial"/>
                <w:b/>
                <w:bCs/>
                <w:color w:val="000000"/>
                <w:sz w:val="15"/>
                <w:szCs w:val="15"/>
              </w:rPr>
              <w:t>Marzo-13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2E3190">
            <w:pPr>
              <w:jc w:val="right"/>
              <w:rPr>
                <w:rFonts w:ascii="Verdana" w:hAnsi="Verdana" w:cs="Arial"/>
                <w:b/>
                <w:bCs/>
                <w:color w:val="000000"/>
                <w:sz w:val="16"/>
                <w:szCs w:val="16"/>
              </w:rPr>
            </w:pPr>
            <w:r>
              <w:rPr>
                <w:rFonts w:ascii="Verdana" w:hAnsi="Verdana" w:cs="Arial"/>
                <w:b/>
                <w:bCs/>
                <w:color w:val="000000"/>
                <w:sz w:val="16"/>
                <w:szCs w:val="16"/>
              </w:rPr>
              <w:t>64</w:t>
            </w:r>
          </w:p>
        </w:tc>
        <w:tc>
          <w:tcPr>
            <w:tcW w:w="947"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2E3190">
            <w:pPr>
              <w:jc w:val="right"/>
              <w:rPr>
                <w:rFonts w:ascii="Verdana" w:hAnsi="Verdana" w:cs="Arial"/>
                <w:bCs/>
                <w:color w:val="000000"/>
                <w:sz w:val="16"/>
                <w:szCs w:val="16"/>
              </w:rPr>
            </w:pPr>
            <w:r>
              <w:rPr>
                <w:rFonts w:ascii="Verdana" w:hAnsi="Verdana" w:cs="Arial"/>
                <w:bCs/>
                <w:color w:val="000000"/>
                <w:sz w:val="16"/>
                <w:szCs w:val="16"/>
              </w:rPr>
              <w:t>112</w:t>
            </w:r>
          </w:p>
        </w:tc>
        <w:tc>
          <w:tcPr>
            <w:tcW w:w="851"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2E3190">
            <w:pPr>
              <w:jc w:val="right"/>
              <w:rPr>
                <w:rFonts w:ascii="Verdana" w:hAnsi="Verdana" w:cs="Arial"/>
                <w:bCs/>
                <w:color w:val="000000"/>
                <w:sz w:val="16"/>
                <w:szCs w:val="16"/>
              </w:rPr>
            </w:pPr>
            <w:r>
              <w:rPr>
                <w:rFonts w:ascii="Verdana" w:hAnsi="Verdana" w:cs="Arial"/>
                <w:bCs/>
                <w:color w:val="000000"/>
                <w:sz w:val="16"/>
                <w:szCs w:val="16"/>
              </w:rPr>
              <w:t>99</w:t>
            </w:r>
          </w:p>
        </w:tc>
        <w:tc>
          <w:tcPr>
            <w:tcW w:w="83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2E3190">
            <w:pPr>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2E3190">
            <w:pPr>
              <w:jc w:val="right"/>
              <w:rPr>
                <w:rFonts w:ascii="Verdana" w:hAnsi="Verdana" w:cs="Arial"/>
                <w:bCs/>
                <w:color w:val="000000"/>
                <w:sz w:val="16"/>
                <w:szCs w:val="16"/>
              </w:rPr>
            </w:pPr>
            <w:r>
              <w:rPr>
                <w:rFonts w:ascii="Verdana" w:hAnsi="Verdana" w:cs="Arial"/>
                <w:bCs/>
                <w:color w:val="000000"/>
                <w:sz w:val="16"/>
                <w:szCs w:val="16"/>
              </w:rPr>
              <w:t>94</w:t>
            </w:r>
          </w:p>
        </w:tc>
      </w:tr>
    </w:tbl>
    <w:p w:rsidR="00352FF3" w:rsidRDefault="00352FF3" w:rsidP="0095569A">
      <w:pPr>
        <w:spacing w:before="300" w:after="300"/>
        <w:outlineLvl w:val="6"/>
        <w:rPr>
          <w:rFonts w:ascii="Agfa Rotis Sans Serif" w:hAnsi="Agfa Rotis Sans Serif"/>
        </w:rPr>
      </w:pPr>
    </w:p>
    <w:p w:rsidR="005C7A1B" w:rsidRDefault="005C7A1B" w:rsidP="0095569A">
      <w:pPr>
        <w:spacing w:before="300" w:after="300"/>
        <w:outlineLvl w:val="6"/>
        <w:rPr>
          <w:rFonts w:ascii="Agfa Rotis Sans Serif" w:hAnsi="Agfa Rotis Sans Serif"/>
        </w:rPr>
      </w:pPr>
    </w:p>
    <w:p w:rsidR="003E453D" w:rsidRDefault="003E453D" w:rsidP="0095569A">
      <w:pPr>
        <w:spacing w:before="300" w:after="300"/>
        <w:outlineLvl w:val="6"/>
        <w:rPr>
          <w:rFonts w:ascii="Agfa Rotis Sans Serif" w:hAnsi="Agfa Rotis Sans Serif"/>
        </w:rPr>
      </w:pPr>
    </w:p>
    <w:p w:rsidR="006858BB" w:rsidRDefault="00CC180A" w:rsidP="0034269E">
      <w:pPr>
        <w:spacing w:before="300" w:after="300"/>
        <w:ind w:left="-426" w:firstLine="426"/>
        <w:outlineLvl w:val="6"/>
        <w:rPr>
          <w:rFonts w:ascii="Agfa Rotis Sans Serif" w:hAnsi="Agfa Rotis Sans Serif"/>
          <w:b/>
          <w:bCs/>
        </w:rPr>
      </w:pPr>
      <w:r w:rsidRPr="0095569A">
        <w:rPr>
          <w:rFonts w:ascii="Agfa Rotis Sans Serif" w:hAnsi="Agfa Rotis Sans Serif"/>
          <w:b/>
          <w:bCs/>
        </w:rPr>
        <w:t xml:space="preserve">Evolución histórica del </w:t>
      </w:r>
      <w:r w:rsidR="006858BB" w:rsidRPr="0095569A">
        <w:rPr>
          <w:rFonts w:ascii="Agfa Rotis Sans Serif" w:hAnsi="Agfa Rotis Sans Serif"/>
          <w:b/>
          <w:bCs/>
        </w:rPr>
        <w:t>Índice</w:t>
      </w:r>
    </w:p>
    <w:p w:rsidR="007A0105" w:rsidRDefault="00B34E18" w:rsidP="00393490">
      <w:pPr>
        <w:spacing w:before="300" w:after="300"/>
        <w:ind w:left="-426" w:firstLine="426"/>
        <w:outlineLvl w:val="6"/>
        <w:rPr>
          <w:rFonts w:ascii="Agfa Rotis Sans Serif" w:hAnsi="Agfa Rotis Sans Serif"/>
          <w:b/>
          <w:bCs/>
        </w:rPr>
      </w:pPr>
      <w:r>
        <w:rPr>
          <w:rFonts w:ascii="Agfa Rotis Sans Serif" w:hAnsi="Agfa Rotis Sans Serif"/>
          <w:b/>
          <w:bCs/>
          <w:noProof/>
          <w:lang w:val="en-US" w:eastAsia="en-US"/>
        </w:rPr>
        <w:drawing>
          <wp:inline distT="0" distB="0" distL="0" distR="0">
            <wp:extent cx="5922194" cy="4189614"/>
            <wp:effectExtent l="19050" t="0" r="2356" b="0"/>
            <wp:docPr id="4" name="Picture 3" descr="grafico noviemb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2.jpg"/>
                    <pic:cNvPicPr/>
                  </pic:nvPicPr>
                  <pic:blipFill>
                    <a:blip r:embed="rId10" cstate="print"/>
                    <a:stretch>
                      <a:fillRect/>
                    </a:stretch>
                  </pic:blipFill>
                  <pic:spPr>
                    <a:xfrm>
                      <a:off x="0" y="0"/>
                      <a:ext cx="5922194" cy="4189614"/>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 xml:space="preserve">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w:t>
      </w:r>
      <w:r w:rsidRPr="005C4BBD">
        <w:rPr>
          <w:rFonts w:ascii="Agfa Rotis Sans Serif" w:hAnsi="Agfa Rotis Sans Serif"/>
        </w:rPr>
        <w:lastRenderedPageBreak/>
        <w:t>Índice en torno a 150. En noviembre de 2010 el índice vuelve a subir debido a la crisis de la deuda de Irlanda, moderándose esta incertidumbre en el pasado diciembre.</w:t>
      </w:r>
    </w:p>
    <w:p w:rsidR="004E7945" w:rsidRPr="00D64A7F" w:rsidRDefault="004E7945" w:rsidP="00C978CC">
      <w:pPr>
        <w:spacing w:before="100" w:beforeAutospacing="1" w:after="120" w:line="360" w:lineRule="atLeast"/>
        <w:jc w:val="both"/>
        <w:rPr>
          <w:rFonts w:ascii="Agfa Rotis Sans Serif" w:hAnsi="Agfa Rotis Sans Serif"/>
        </w:rPr>
      </w:pPr>
      <w:r w:rsidRPr="00D64A7F">
        <w:rPr>
          <w:rFonts w:ascii="Agfa Rotis Sans Serif" w:hAnsi="Agfa Rotis Sans Serif"/>
        </w:rPr>
        <w:t>Muchas decisiones empresariales y personales, tanto a corto como a largo plazo, se toman en función de la incertidumbre económica existente. El objetivo de la elaboración de este índice es dar una medida cuantificable de esta incertidumbre que 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7F6E0D">
      <w:pPr>
        <w:spacing w:before="100" w:beforeAutospacing="1" w:after="120" w:line="360" w:lineRule="atLeast"/>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1"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Pr="00884CE9" w:rsidRDefault="00232EE6" w:rsidP="005C4BBD">
      <w:pPr>
        <w:spacing w:before="100" w:beforeAutospacing="1" w:after="120" w:line="360" w:lineRule="atLeast"/>
        <w:rPr>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w:t>
      </w:r>
      <w:r w:rsidR="00C978CC">
        <w:rPr>
          <w:rFonts w:ascii="Agfa Rotis Sans Serif" w:hAnsi="Agfa Rotis Sans Serif"/>
        </w:rPr>
        <w:t xml:space="preserve"> </w:t>
      </w:r>
      <w:r w:rsidRPr="005C4BBD">
        <w:rPr>
          <w:rFonts w:ascii="Agfa Rotis Sans Serif" w:hAnsi="Agfa Rotis Sans Serif"/>
        </w:rPr>
        <w:t xml:space="preserve">y </w:t>
      </w:r>
      <w:r w:rsidR="00C978CC">
        <w:rPr>
          <w:rFonts w:ascii="Agfa Rotis Sans Serif" w:hAnsi="Agfa Rotis Sans Serif"/>
        </w:rPr>
        <w:t xml:space="preserve"> </w:t>
      </w:r>
      <w:r w:rsidRPr="005C4BBD">
        <w:rPr>
          <w:rFonts w:ascii="Agfa Rotis Sans Serif" w:hAnsi="Agfa Rotis Sans Serif"/>
        </w:rPr>
        <w:t xml:space="preserve">además </w:t>
      </w:r>
      <w:r w:rsidR="00C978CC">
        <w:rPr>
          <w:rFonts w:ascii="Agfa Rotis Sans Serif" w:hAnsi="Agfa Rotis Sans Serif"/>
        </w:rPr>
        <w:t xml:space="preserve"> </w:t>
      </w:r>
      <w:r w:rsidRPr="005C4BBD">
        <w:rPr>
          <w:rFonts w:ascii="Agfa Rotis Sans Serif" w:hAnsi="Agfa Rotis Sans Serif"/>
        </w:rPr>
        <w:t>de</w:t>
      </w:r>
      <w:r w:rsidR="00C978CC">
        <w:rPr>
          <w:rFonts w:ascii="Agfa Rotis Sans Serif" w:hAnsi="Agfa Rotis Sans Serif"/>
        </w:rPr>
        <w:t xml:space="preserve"> </w:t>
      </w:r>
      <w:r w:rsidRPr="005C4BBD">
        <w:rPr>
          <w:rFonts w:ascii="Agfa Rotis Sans Serif" w:hAnsi="Agfa Rotis Sans Serif"/>
        </w:rPr>
        <w:t xml:space="preserv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r w:rsidRPr="005C4BBD">
        <w:rPr>
          <w:rFonts w:ascii="Agfa Rotis Sans Serif" w:hAnsi="Agfa Rotis Sans Serif"/>
        </w:rPr>
        <w:t xml:space="preserve"> </w:t>
      </w:r>
      <w:hyperlink r:id="rId13" w:history="1">
        <w:r w:rsidR="00C978CC" w:rsidRPr="00820F3A">
          <w:rPr>
            <w:rStyle w:val="Hyperlink"/>
            <w:rFonts w:ascii="Agfa Rotis Sans Serif" w:hAnsi="Agfa Rotis Sans Serif"/>
          </w:rPr>
          <w:t>esta  página</w:t>
        </w:r>
      </w:hyperlink>
      <w:r w:rsidR="00884CE9">
        <w:rPr>
          <w:rFonts w:ascii="Agfa Rotis Sans Serif" w:hAnsi="Agfa Rotis Sans Serif"/>
        </w:rPr>
        <w:t xml:space="preserve"> </w:t>
      </w:r>
      <w:hyperlink r:id="rId14" w:history="1">
        <w:r w:rsidR="00D02EF0" w:rsidRPr="00884CE9">
          <w:rPr>
            <w:rStyle w:val="Hyperlink"/>
            <w:rFonts w:ascii="Agfa Rotis Sans Serif" w:hAnsi="Agfa Rotis Sans Serif"/>
            <w:b/>
            <w:sz w:val="22"/>
            <w:szCs w:val="22"/>
          </w:rPr>
          <w:t>http://blog.iese.edu/icdm/i3e-2/</w:t>
        </w:r>
      </w:hyperlink>
      <w:r w:rsidR="00C978CC">
        <w:rPr>
          <w:rFonts w:ascii="Agfa Rotis Sans Serif" w:hAnsi="Agfa Rotis Sans Serif"/>
        </w:rPr>
        <w:t xml:space="preserve">,  </w:t>
      </w:r>
      <w:r w:rsidRPr="005C4BBD">
        <w:rPr>
          <w:rFonts w:ascii="Agfa Rotis Sans Serif" w:hAnsi="Agfa Rotis Sans Serif"/>
        </w:rPr>
        <w:t xml:space="preserve">puede </w:t>
      </w:r>
      <w:r w:rsidR="00C978CC">
        <w:rPr>
          <w:rFonts w:ascii="Agfa Rotis Sans Serif" w:hAnsi="Agfa Rotis Sans Serif"/>
        </w:rPr>
        <w:t xml:space="preserve"> </w:t>
      </w:r>
      <w:r w:rsidRPr="005C4BBD">
        <w:rPr>
          <w:rFonts w:ascii="Agfa Rotis Sans Serif" w:hAnsi="Agfa Rotis Sans Serif"/>
        </w:rPr>
        <w:t xml:space="preserve">también </w:t>
      </w:r>
      <w:r w:rsidR="00C978CC">
        <w:rPr>
          <w:rFonts w:ascii="Agfa Rotis Sans Serif" w:hAnsi="Agfa Rotis Sans Serif"/>
        </w:rPr>
        <w:t xml:space="preserve"> </w:t>
      </w:r>
      <w:r w:rsidRPr="005C4BBD">
        <w:rPr>
          <w:rFonts w:ascii="Agfa Rotis Sans Serif" w:hAnsi="Agfa Rotis Sans Serif"/>
        </w:rPr>
        <w:t xml:space="preserve">seguirse </w:t>
      </w:r>
      <w:r w:rsidR="00C978CC">
        <w:rPr>
          <w:rFonts w:ascii="Agfa Rotis Sans Serif" w:hAnsi="Agfa Rotis Sans Serif"/>
        </w:rPr>
        <w:t xml:space="preserve"> </w:t>
      </w:r>
      <w:r w:rsidRPr="005C4BBD">
        <w:rPr>
          <w:rFonts w:ascii="Agfa Rotis Sans Serif" w:hAnsi="Agfa Rotis Sans Serif"/>
        </w:rPr>
        <w:t>en</w:t>
      </w:r>
      <w:r w:rsidR="00C978CC">
        <w:rPr>
          <w:rFonts w:ascii="Agfa Rotis Sans Serif" w:hAnsi="Agfa Rotis Sans Serif"/>
        </w:rPr>
        <w:t xml:space="preserve"> </w:t>
      </w:r>
      <w:hyperlink r:id="rId15" w:history="1">
        <w:r w:rsidR="00C978CC" w:rsidRPr="00884CE9">
          <w:rPr>
            <w:rStyle w:val="Hyperlink"/>
            <w:rFonts w:ascii="Agfa Rotis Sans Serif" w:hAnsi="Agfa Rotis Sans Serif"/>
            <w:b/>
            <w:sz w:val="22"/>
            <w:szCs w:val="22"/>
          </w:rPr>
          <w:t>http://twitter.com/MiguelArino</w:t>
        </w:r>
      </w:hyperlink>
    </w:p>
    <w:p w:rsidR="00CD4C38" w:rsidRPr="007F6E0D" w:rsidRDefault="0047610D" w:rsidP="005C4BBD">
      <w:pPr>
        <w:spacing w:before="100" w:beforeAutospacing="1" w:after="120" w:line="360" w:lineRule="atLeast"/>
        <w:rPr>
          <w:rFonts w:ascii="Agfa Rotis Sans Serif" w:hAnsi="Agfa Rotis Sans Serif"/>
        </w:rPr>
      </w:pPr>
      <w:r w:rsidRPr="00650EE4">
        <w:rPr>
          <w:rFonts w:ascii="Agfa Rotis Sans Serif" w:hAnsi="Agfa Rotis Sans Serif"/>
          <w:b/>
          <w:bCs/>
        </w:rPr>
        <w:t>Para más información</w:t>
      </w:r>
    </w:p>
    <w:tbl>
      <w:tblPr>
        <w:tblW w:w="5000" w:type="pct"/>
        <w:tblCellSpacing w:w="7" w:type="dxa"/>
        <w:tblCellMar>
          <w:left w:w="0" w:type="dxa"/>
          <w:right w:w="0" w:type="dxa"/>
        </w:tblCellMar>
        <w:tblLook w:val="04A0"/>
      </w:tblPr>
      <w:tblGrid>
        <w:gridCol w:w="8031"/>
        <w:gridCol w:w="106"/>
      </w:tblGrid>
      <w:tr w:rsidR="0047610D" w:rsidRPr="00F733DA" w:rsidTr="008B3A8F">
        <w:trPr>
          <w:tblCellSpacing w:w="7" w:type="dxa"/>
        </w:trPr>
        <w:tc>
          <w:tcPr>
            <w:tcW w:w="0" w:type="auto"/>
            <w:tcMar>
              <w:top w:w="15" w:type="dxa"/>
              <w:left w:w="15" w:type="dxa"/>
              <w:bottom w:w="15" w:type="dxa"/>
              <w:right w:w="15" w:type="dxa"/>
            </w:tcMar>
            <w:vAlign w:val="center"/>
            <w:hideMark/>
          </w:tcPr>
          <w:p w:rsidR="00AF2F04" w:rsidRDefault="0047610D" w:rsidP="008B3A8F">
            <w:pPr>
              <w:rPr>
                <w:rFonts w:ascii="Agfa Rotis Sans Serif" w:hAnsi="Agfa Rotis Sans Serif"/>
                <w:color w:val="333333"/>
                <w:sz w:val="20"/>
                <w:szCs w:val="20"/>
              </w:rPr>
            </w:pPr>
            <w:r w:rsidRPr="00AF2F04">
              <w:rPr>
                <w:rFonts w:ascii="Agfa Rotis Sans Serif" w:hAnsi="Agfa Rotis Sans Serif"/>
                <w:color w:val="333333"/>
                <w:sz w:val="20"/>
                <w:szCs w:val="20"/>
              </w:rPr>
              <w:t xml:space="preserve">Ana Sesé / Clara Castillejo </w:t>
            </w:r>
            <w:r w:rsidRPr="00AF2F04">
              <w:rPr>
                <w:rFonts w:ascii="Agfa Rotis Sans Serif" w:hAnsi="Agfa Rotis Sans Serif"/>
                <w:color w:val="333333"/>
                <w:sz w:val="20"/>
                <w:szCs w:val="20"/>
              </w:rPr>
              <w:br/>
              <w:t xml:space="preserve">Dirección de Comunicación Cataluña </w:t>
            </w:r>
            <w:r w:rsidRPr="00AF2F04">
              <w:rPr>
                <w:rFonts w:ascii="Agfa Rotis Sans Serif" w:hAnsi="Agfa Rotis Sans Serif"/>
                <w:color w:val="333333"/>
                <w:sz w:val="20"/>
                <w:szCs w:val="20"/>
              </w:rPr>
              <w:br/>
              <w:t xml:space="preserve">IESE – Universidad de Navarra </w:t>
            </w:r>
            <w:r w:rsidRPr="00AF2F04">
              <w:rPr>
                <w:rFonts w:ascii="Agfa Rotis Sans Serif" w:hAnsi="Agfa Rotis Sans Serif"/>
                <w:color w:val="333333"/>
                <w:sz w:val="20"/>
                <w:szCs w:val="20"/>
              </w:rPr>
              <w:br/>
              <w:t xml:space="preserve">Tel. 93 253 64 29 / 607 214 499 </w:t>
            </w:r>
          </w:p>
          <w:p w:rsidR="0047610D" w:rsidRPr="00AF2F04" w:rsidRDefault="0047610D" w:rsidP="008B3A8F">
            <w:pPr>
              <w:rPr>
                <w:rFonts w:ascii="Agfa Rotis Sans Serif" w:eastAsia="Calibri" w:hAnsi="Agfa Rotis Sans Serif"/>
                <w:color w:val="333333"/>
                <w:sz w:val="20"/>
                <w:szCs w:val="20"/>
                <w:lang w:val="en-US"/>
              </w:rPr>
            </w:pPr>
            <w:r w:rsidRPr="00AF2F04">
              <w:rPr>
                <w:rFonts w:ascii="Agfa Rotis Sans Serif" w:hAnsi="Agfa Rotis Sans Serif"/>
                <w:color w:val="333333"/>
                <w:sz w:val="20"/>
                <w:szCs w:val="20"/>
                <w:lang w:val="en-US"/>
              </w:rPr>
              <w:t xml:space="preserve">Mail: </w:t>
            </w:r>
            <w:hyperlink r:id="rId16" w:history="1">
              <w:r w:rsidRPr="00AF2F04">
                <w:rPr>
                  <w:rStyle w:val="Hyperlink"/>
                  <w:rFonts w:ascii="Agfa Rotis Sans Serif" w:hAnsi="Agfa Rotis Sans Serif"/>
                  <w:sz w:val="20"/>
                  <w:szCs w:val="20"/>
                  <w:lang w:val="en-US"/>
                </w:rPr>
                <w:t>sese@iese.edu</w:t>
              </w:r>
            </w:hyperlink>
            <w:r w:rsidRPr="00AF2F04">
              <w:rPr>
                <w:rFonts w:ascii="Agfa Rotis Sans Serif" w:hAnsi="Agfa Rotis Sans Serif"/>
                <w:color w:val="333333"/>
                <w:sz w:val="20"/>
                <w:szCs w:val="20"/>
                <w:lang w:val="en-US"/>
              </w:rPr>
              <w:t xml:space="preserve"> / </w:t>
            </w:r>
            <w:hyperlink r:id="rId17" w:history="1">
              <w:r w:rsidRPr="00AF2F04">
                <w:rPr>
                  <w:rStyle w:val="Hyperlink"/>
                  <w:rFonts w:ascii="Agfa Rotis Sans Serif" w:hAnsi="Agfa Rotis Sans Serif"/>
                  <w:sz w:val="20"/>
                  <w:szCs w:val="20"/>
                  <w:lang w:val="en-US"/>
                </w:rPr>
                <w:t>ccastillejo@iese.edu</w:t>
              </w:r>
            </w:hyperlink>
            <w:r w:rsidRPr="00AF2F04">
              <w:rPr>
                <w:rFonts w:ascii="Agfa Rotis Sans Serif" w:hAnsi="Agfa Rotis Sans Serif"/>
                <w:color w:val="333333"/>
                <w:sz w:val="20"/>
                <w:szCs w:val="20"/>
                <w:lang w:val="en-US"/>
              </w:rPr>
              <w:br/>
            </w:r>
            <w:hyperlink r:id="rId18" w:history="1">
              <w:r w:rsidRPr="00AF2F04">
                <w:rPr>
                  <w:rStyle w:val="Hyperlink"/>
                  <w:rFonts w:ascii="Agfa Rotis Sans Serif" w:hAnsi="Agfa Rotis Sans Serif"/>
                  <w:sz w:val="20"/>
                  <w:szCs w:val="20"/>
                  <w:lang w:val="en-US"/>
                </w:rPr>
                <w:t>http://www.iese.edu/</w:t>
              </w:r>
            </w:hyperlink>
          </w:p>
        </w:tc>
        <w:tc>
          <w:tcPr>
            <w:tcW w:w="0" w:type="auto"/>
            <w:tcMar>
              <w:top w:w="15" w:type="dxa"/>
              <w:left w:w="15" w:type="dxa"/>
              <w:bottom w:w="15" w:type="dxa"/>
              <w:right w:w="15" w:type="dxa"/>
            </w:tcMar>
            <w:vAlign w:val="center"/>
            <w:hideMark/>
          </w:tcPr>
          <w:p w:rsidR="0047610D" w:rsidRPr="00AF2F04" w:rsidRDefault="0047610D" w:rsidP="008B3A8F">
            <w:pPr>
              <w:pStyle w:val="NormalWeb"/>
              <w:rPr>
                <w:rFonts w:ascii="Agfa Rotis Sans Serif" w:hAnsi="Agfa Rotis Sans Serif"/>
                <w:color w:val="333333"/>
                <w:lang w:val="en-US"/>
              </w:rPr>
            </w:pPr>
          </w:p>
        </w:tc>
      </w:tr>
    </w:tbl>
    <w:p w:rsidR="00E41C57" w:rsidRPr="00AF2F04" w:rsidRDefault="00E41C57" w:rsidP="00063A13">
      <w:pPr>
        <w:rPr>
          <w:rFonts w:ascii="Agfa Rotis Sans Serif" w:hAnsi="Agfa Rotis Sans Serif"/>
          <w:lang w:val="en-US"/>
        </w:rPr>
      </w:pPr>
    </w:p>
    <w:p w:rsidR="00F7234D" w:rsidRPr="00AF2F04" w:rsidRDefault="00F7234D" w:rsidP="00063A13">
      <w:pPr>
        <w:rPr>
          <w:rFonts w:ascii="Agfa Rotis Sans Serif" w:hAnsi="Agfa Rotis Sans Serif"/>
          <w:lang w:val="en-US"/>
        </w:rPr>
      </w:pPr>
    </w:p>
    <w:sectPr w:rsidR="00F7234D" w:rsidRPr="00AF2F04" w:rsidSect="00B34491">
      <w:footerReference w:type="even" r:id="rId19"/>
      <w:footerReference w:type="default" r:id="rId20"/>
      <w:pgSz w:w="11906" w:h="16838"/>
      <w:pgMar w:top="1418" w:right="212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77" w:rsidRDefault="00B27377">
      <w:r>
        <w:separator/>
      </w:r>
    </w:p>
  </w:endnote>
  <w:endnote w:type="continuationSeparator" w:id="1">
    <w:p w:rsidR="00B27377" w:rsidRDefault="00B27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77" w:rsidRDefault="00547328" w:rsidP="00765A30">
    <w:pPr>
      <w:pStyle w:val="Footer"/>
      <w:framePr w:wrap="around" w:vAnchor="text" w:hAnchor="margin" w:xAlign="center" w:y="1"/>
      <w:rPr>
        <w:rStyle w:val="PageNumber"/>
      </w:rPr>
    </w:pPr>
    <w:r>
      <w:rPr>
        <w:rStyle w:val="PageNumber"/>
      </w:rPr>
      <w:fldChar w:fldCharType="begin"/>
    </w:r>
    <w:r w:rsidR="00B27377">
      <w:rPr>
        <w:rStyle w:val="PageNumber"/>
      </w:rPr>
      <w:instrText xml:space="preserve">PAGE  </w:instrText>
    </w:r>
    <w:r>
      <w:rPr>
        <w:rStyle w:val="PageNumber"/>
      </w:rPr>
      <w:fldChar w:fldCharType="end"/>
    </w:r>
  </w:p>
  <w:p w:rsidR="00B27377" w:rsidRDefault="00B27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77" w:rsidRDefault="00547328" w:rsidP="00765A30">
    <w:pPr>
      <w:pStyle w:val="Footer"/>
      <w:framePr w:wrap="around" w:vAnchor="text" w:hAnchor="margin" w:xAlign="center" w:y="1"/>
      <w:rPr>
        <w:rStyle w:val="PageNumber"/>
      </w:rPr>
    </w:pPr>
    <w:r>
      <w:rPr>
        <w:rStyle w:val="PageNumber"/>
      </w:rPr>
      <w:fldChar w:fldCharType="begin"/>
    </w:r>
    <w:r w:rsidR="00B27377">
      <w:rPr>
        <w:rStyle w:val="PageNumber"/>
      </w:rPr>
      <w:instrText xml:space="preserve">PAGE  </w:instrText>
    </w:r>
    <w:r>
      <w:rPr>
        <w:rStyle w:val="PageNumber"/>
      </w:rPr>
      <w:fldChar w:fldCharType="separate"/>
    </w:r>
    <w:r w:rsidR="00E1236C">
      <w:rPr>
        <w:rStyle w:val="PageNumber"/>
        <w:noProof/>
      </w:rPr>
      <w:t>1</w:t>
    </w:r>
    <w:r>
      <w:rPr>
        <w:rStyle w:val="PageNumber"/>
      </w:rPr>
      <w:fldChar w:fldCharType="end"/>
    </w:r>
  </w:p>
  <w:p w:rsidR="00B27377" w:rsidRDefault="00B27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77" w:rsidRDefault="00B27377">
      <w:r>
        <w:separator/>
      </w:r>
    </w:p>
  </w:footnote>
  <w:footnote w:type="continuationSeparator" w:id="1">
    <w:p w:rsidR="00B27377" w:rsidRDefault="00B27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DC"/>
    <w:multiLevelType w:val="multilevel"/>
    <w:tmpl w:val="5FF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5">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9"/>
  </w:num>
  <w:num w:numId="4">
    <w:abstractNumId w:val="8"/>
  </w:num>
  <w:num w:numId="5">
    <w:abstractNumId w:val="3"/>
  </w:num>
  <w:num w:numId="6">
    <w:abstractNumId w:val="1"/>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8AA"/>
    <w:rsid w:val="00076FFD"/>
    <w:rsid w:val="00077A0A"/>
    <w:rsid w:val="00077A69"/>
    <w:rsid w:val="0008128D"/>
    <w:rsid w:val="000821E0"/>
    <w:rsid w:val="00083FAE"/>
    <w:rsid w:val="00084055"/>
    <w:rsid w:val="000842FF"/>
    <w:rsid w:val="0008676C"/>
    <w:rsid w:val="00086A3A"/>
    <w:rsid w:val="00087026"/>
    <w:rsid w:val="000873E3"/>
    <w:rsid w:val="0009050E"/>
    <w:rsid w:val="00090642"/>
    <w:rsid w:val="00091273"/>
    <w:rsid w:val="0009257B"/>
    <w:rsid w:val="00093A8F"/>
    <w:rsid w:val="00096E3C"/>
    <w:rsid w:val="000973E0"/>
    <w:rsid w:val="00097E56"/>
    <w:rsid w:val="000A0C56"/>
    <w:rsid w:val="000A20E9"/>
    <w:rsid w:val="000A53DD"/>
    <w:rsid w:val="000A5836"/>
    <w:rsid w:val="000A6211"/>
    <w:rsid w:val="000A68E1"/>
    <w:rsid w:val="000A77CE"/>
    <w:rsid w:val="000A7AAD"/>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3937"/>
    <w:rsid w:val="00135BF9"/>
    <w:rsid w:val="00136D52"/>
    <w:rsid w:val="001378F2"/>
    <w:rsid w:val="00141F35"/>
    <w:rsid w:val="0014498A"/>
    <w:rsid w:val="00145BB6"/>
    <w:rsid w:val="00146761"/>
    <w:rsid w:val="0014785E"/>
    <w:rsid w:val="00153017"/>
    <w:rsid w:val="001535FB"/>
    <w:rsid w:val="00153F30"/>
    <w:rsid w:val="001563C1"/>
    <w:rsid w:val="001566C6"/>
    <w:rsid w:val="00157AFD"/>
    <w:rsid w:val="00157DEE"/>
    <w:rsid w:val="00160FC9"/>
    <w:rsid w:val="00161625"/>
    <w:rsid w:val="0016197C"/>
    <w:rsid w:val="00161EE0"/>
    <w:rsid w:val="00161EF1"/>
    <w:rsid w:val="00164382"/>
    <w:rsid w:val="001644E9"/>
    <w:rsid w:val="001675E3"/>
    <w:rsid w:val="00167C4D"/>
    <w:rsid w:val="00170FB4"/>
    <w:rsid w:val="0017266D"/>
    <w:rsid w:val="0017314D"/>
    <w:rsid w:val="00174508"/>
    <w:rsid w:val="00174642"/>
    <w:rsid w:val="00175191"/>
    <w:rsid w:val="001756D0"/>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86C"/>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19A"/>
    <w:rsid w:val="001B6F9A"/>
    <w:rsid w:val="001B71F8"/>
    <w:rsid w:val="001B7240"/>
    <w:rsid w:val="001B7481"/>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2F2F"/>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49ED"/>
    <w:rsid w:val="0020581B"/>
    <w:rsid w:val="00205D8B"/>
    <w:rsid w:val="002078B4"/>
    <w:rsid w:val="002129C0"/>
    <w:rsid w:val="0021621E"/>
    <w:rsid w:val="00216547"/>
    <w:rsid w:val="0022571E"/>
    <w:rsid w:val="00225AC7"/>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C45"/>
    <w:rsid w:val="002469C8"/>
    <w:rsid w:val="00246B96"/>
    <w:rsid w:val="00246D38"/>
    <w:rsid w:val="00250357"/>
    <w:rsid w:val="00250501"/>
    <w:rsid w:val="00250D98"/>
    <w:rsid w:val="0025309B"/>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4FED"/>
    <w:rsid w:val="002965F6"/>
    <w:rsid w:val="002968C9"/>
    <w:rsid w:val="002A2104"/>
    <w:rsid w:val="002A2E8F"/>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C5AB8"/>
    <w:rsid w:val="002D2A40"/>
    <w:rsid w:val="002D301F"/>
    <w:rsid w:val="002D6F66"/>
    <w:rsid w:val="002E11C5"/>
    <w:rsid w:val="002E3190"/>
    <w:rsid w:val="002E341E"/>
    <w:rsid w:val="002E6214"/>
    <w:rsid w:val="002E74A5"/>
    <w:rsid w:val="002E7EF7"/>
    <w:rsid w:val="002F1392"/>
    <w:rsid w:val="002F1487"/>
    <w:rsid w:val="002F1CB7"/>
    <w:rsid w:val="002F2560"/>
    <w:rsid w:val="002F3767"/>
    <w:rsid w:val="002F497D"/>
    <w:rsid w:val="002F5B82"/>
    <w:rsid w:val="002F5D0B"/>
    <w:rsid w:val="002F6336"/>
    <w:rsid w:val="002F752F"/>
    <w:rsid w:val="002F75F7"/>
    <w:rsid w:val="002F7D17"/>
    <w:rsid w:val="00300479"/>
    <w:rsid w:val="00301632"/>
    <w:rsid w:val="00302176"/>
    <w:rsid w:val="0030269B"/>
    <w:rsid w:val="00303767"/>
    <w:rsid w:val="0030603C"/>
    <w:rsid w:val="00306381"/>
    <w:rsid w:val="00311467"/>
    <w:rsid w:val="0031415F"/>
    <w:rsid w:val="00314A82"/>
    <w:rsid w:val="00315997"/>
    <w:rsid w:val="0031682A"/>
    <w:rsid w:val="0032127E"/>
    <w:rsid w:val="003242AC"/>
    <w:rsid w:val="00324472"/>
    <w:rsid w:val="00325850"/>
    <w:rsid w:val="00325AB6"/>
    <w:rsid w:val="00326D8A"/>
    <w:rsid w:val="00330085"/>
    <w:rsid w:val="003300F1"/>
    <w:rsid w:val="00330BF7"/>
    <w:rsid w:val="00334963"/>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EF5"/>
    <w:rsid w:val="003B0709"/>
    <w:rsid w:val="003B0778"/>
    <w:rsid w:val="003B07D1"/>
    <w:rsid w:val="003B0C15"/>
    <w:rsid w:val="003B0C6B"/>
    <w:rsid w:val="003B2216"/>
    <w:rsid w:val="003B365F"/>
    <w:rsid w:val="003B38CD"/>
    <w:rsid w:val="003B3E1E"/>
    <w:rsid w:val="003B596F"/>
    <w:rsid w:val="003B5F90"/>
    <w:rsid w:val="003C4DB5"/>
    <w:rsid w:val="003C4DF4"/>
    <w:rsid w:val="003C6916"/>
    <w:rsid w:val="003C6AF0"/>
    <w:rsid w:val="003C6B6A"/>
    <w:rsid w:val="003D014B"/>
    <w:rsid w:val="003D146C"/>
    <w:rsid w:val="003D1815"/>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53D"/>
    <w:rsid w:val="003E4BDE"/>
    <w:rsid w:val="003E5E76"/>
    <w:rsid w:val="003E608F"/>
    <w:rsid w:val="003E6559"/>
    <w:rsid w:val="003F1A93"/>
    <w:rsid w:val="003F2924"/>
    <w:rsid w:val="003F315F"/>
    <w:rsid w:val="003F37DD"/>
    <w:rsid w:val="003F4015"/>
    <w:rsid w:val="003F5DD6"/>
    <w:rsid w:val="003F6220"/>
    <w:rsid w:val="003F64CB"/>
    <w:rsid w:val="003F72CE"/>
    <w:rsid w:val="004003E6"/>
    <w:rsid w:val="004018CC"/>
    <w:rsid w:val="00402BEB"/>
    <w:rsid w:val="00403FBC"/>
    <w:rsid w:val="00404599"/>
    <w:rsid w:val="00404C0E"/>
    <w:rsid w:val="00406A24"/>
    <w:rsid w:val="004073C7"/>
    <w:rsid w:val="00410004"/>
    <w:rsid w:val="00411055"/>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2FD7"/>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36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AA7"/>
    <w:rsid w:val="004B4AFF"/>
    <w:rsid w:val="004B4CD0"/>
    <w:rsid w:val="004B7978"/>
    <w:rsid w:val="004C046C"/>
    <w:rsid w:val="004C10FE"/>
    <w:rsid w:val="004C12DC"/>
    <w:rsid w:val="004C1736"/>
    <w:rsid w:val="004C23A5"/>
    <w:rsid w:val="004C3B70"/>
    <w:rsid w:val="004C3D26"/>
    <w:rsid w:val="004C49C5"/>
    <w:rsid w:val="004C6542"/>
    <w:rsid w:val="004C6C61"/>
    <w:rsid w:val="004C6E8D"/>
    <w:rsid w:val="004D055F"/>
    <w:rsid w:val="004D1A2E"/>
    <w:rsid w:val="004D268D"/>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3811"/>
    <w:rsid w:val="004F419F"/>
    <w:rsid w:val="00501458"/>
    <w:rsid w:val="005019DF"/>
    <w:rsid w:val="005027C2"/>
    <w:rsid w:val="005028A5"/>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138"/>
    <w:rsid w:val="00517662"/>
    <w:rsid w:val="00520118"/>
    <w:rsid w:val="00522C38"/>
    <w:rsid w:val="0052412B"/>
    <w:rsid w:val="00524DE4"/>
    <w:rsid w:val="005252A2"/>
    <w:rsid w:val="005253AB"/>
    <w:rsid w:val="00525760"/>
    <w:rsid w:val="005264DC"/>
    <w:rsid w:val="00530D30"/>
    <w:rsid w:val="00531334"/>
    <w:rsid w:val="005318D3"/>
    <w:rsid w:val="00532133"/>
    <w:rsid w:val="005325A6"/>
    <w:rsid w:val="00532A9C"/>
    <w:rsid w:val="0053311A"/>
    <w:rsid w:val="005334C2"/>
    <w:rsid w:val="00533B1C"/>
    <w:rsid w:val="005344B8"/>
    <w:rsid w:val="005345F2"/>
    <w:rsid w:val="00535698"/>
    <w:rsid w:val="00536244"/>
    <w:rsid w:val="00536397"/>
    <w:rsid w:val="00536B20"/>
    <w:rsid w:val="00536EBB"/>
    <w:rsid w:val="005372FC"/>
    <w:rsid w:val="005407A5"/>
    <w:rsid w:val="005426A7"/>
    <w:rsid w:val="00542D7E"/>
    <w:rsid w:val="00545A2D"/>
    <w:rsid w:val="00545B7A"/>
    <w:rsid w:val="00547144"/>
    <w:rsid w:val="00547328"/>
    <w:rsid w:val="00552064"/>
    <w:rsid w:val="0055359A"/>
    <w:rsid w:val="0055376E"/>
    <w:rsid w:val="005537D6"/>
    <w:rsid w:val="005547E8"/>
    <w:rsid w:val="00554D35"/>
    <w:rsid w:val="00554E16"/>
    <w:rsid w:val="00555D18"/>
    <w:rsid w:val="005573B7"/>
    <w:rsid w:val="00560253"/>
    <w:rsid w:val="00560473"/>
    <w:rsid w:val="005618BA"/>
    <w:rsid w:val="00561AED"/>
    <w:rsid w:val="0056260D"/>
    <w:rsid w:val="00564EA4"/>
    <w:rsid w:val="005659FF"/>
    <w:rsid w:val="0056602E"/>
    <w:rsid w:val="00567948"/>
    <w:rsid w:val="00573D01"/>
    <w:rsid w:val="0057472F"/>
    <w:rsid w:val="00574B33"/>
    <w:rsid w:val="00575FB7"/>
    <w:rsid w:val="005760EF"/>
    <w:rsid w:val="00576D7A"/>
    <w:rsid w:val="0057741C"/>
    <w:rsid w:val="00580754"/>
    <w:rsid w:val="00580B71"/>
    <w:rsid w:val="00580E19"/>
    <w:rsid w:val="00582A28"/>
    <w:rsid w:val="00582A83"/>
    <w:rsid w:val="00582BBC"/>
    <w:rsid w:val="0058431B"/>
    <w:rsid w:val="00590380"/>
    <w:rsid w:val="0059039D"/>
    <w:rsid w:val="00592FEF"/>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748"/>
    <w:rsid w:val="005B0DF5"/>
    <w:rsid w:val="005B0F6C"/>
    <w:rsid w:val="005B2579"/>
    <w:rsid w:val="005B2C0A"/>
    <w:rsid w:val="005B3552"/>
    <w:rsid w:val="005B42AA"/>
    <w:rsid w:val="005B4765"/>
    <w:rsid w:val="005B76DC"/>
    <w:rsid w:val="005B7AAE"/>
    <w:rsid w:val="005B7D54"/>
    <w:rsid w:val="005C0B98"/>
    <w:rsid w:val="005C0C20"/>
    <w:rsid w:val="005C1383"/>
    <w:rsid w:val="005C1D33"/>
    <w:rsid w:val="005C3DA7"/>
    <w:rsid w:val="005C419D"/>
    <w:rsid w:val="005C4A74"/>
    <w:rsid w:val="005C4BBD"/>
    <w:rsid w:val="005C62E1"/>
    <w:rsid w:val="005C6DFB"/>
    <w:rsid w:val="005C6FC0"/>
    <w:rsid w:val="005C7A1B"/>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6A4D"/>
    <w:rsid w:val="006871F0"/>
    <w:rsid w:val="0068736D"/>
    <w:rsid w:val="006874C1"/>
    <w:rsid w:val="00687E1F"/>
    <w:rsid w:val="006903BC"/>
    <w:rsid w:val="0069091C"/>
    <w:rsid w:val="00690B77"/>
    <w:rsid w:val="006935C6"/>
    <w:rsid w:val="00694A74"/>
    <w:rsid w:val="006957F7"/>
    <w:rsid w:val="0069603D"/>
    <w:rsid w:val="006972B6"/>
    <w:rsid w:val="006A1A72"/>
    <w:rsid w:val="006A3C2C"/>
    <w:rsid w:val="006B0378"/>
    <w:rsid w:val="006B0650"/>
    <w:rsid w:val="006B2015"/>
    <w:rsid w:val="006B2629"/>
    <w:rsid w:val="006B3CC6"/>
    <w:rsid w:val="006B3E75"/>
    <w:rsid w:val="006B4A93"/>
    <w:rsid w:val="006B697A"/>
    <w:rsid w:val="006C1C63"/>
    <w:rsid w:val="006C3476"/>
    <w:rsid w:val="006C4CCC"/>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2EC2"/>
    <w:rsid w:val="006F31AF"/>
    <w:rsid w:val="006F3CBF"/>
    <w:rsid w:val="006F675D"/>
    <w:rsid w:val="006F7E7C"/>
    <w:rsid w:val="00700CA3"/>
    <w:rsid w:val="00700F48"/>
    <w:rsid w:val="007014FD"/>
    <w:rsid w:val="0070209A"/>
    <w:rsid w:val="00703991"/>
    <w:rsid w:val="00703DA0"/>
    <w:rsid w:val="0070612E"/>
    <w:rsid w:val="00706E31"/>
    <w:rsid w:val="0070749C"/>
    <w:rsid w:val="00710F49"/>
    <w:rsid w:val="00711177"/>
    <w:rsid w:val="0071135D"/>
    <w:rsid w:val="00711D95"/>
    <w:rsid w:val="00713783"/>
    <w:rsid w:val="0071407B"/>
    <w:rsid w:val="00714BB6"/>
    <w:rsid w:val="00716FB3"/>
    <w:rsid w:val="007172E0"/>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410B9"/>
    <w:rsid w:val="00741E1B"/>
    <w:rsid w:val="00742164"/>
    <w:rsid w:val="0074448E"/>
    <w:rsid w:val="007453BF"/>
    <w:rsid w:val="00747CBB"/>
    <w:rsid w:val="00750C10"/>
    <w:rsid w:val="00751E62"/>
    <w:rsid w:val="00751E83"/>
    <w:rsid w:val="00752C00"/>
    <w:rsid w:val="00755671"/>
    <w:rsid w:val="00756F50"/>
    <w:rsid w:val="007572C9"/>
    <w:rsid w:val="0076073A"/>
    <w:rsid w:val="00760791"/>
    <w:rsid w:val="00761701"/>
    <w:rsid w:val="00762D99"/>
    <w:rsid w:val="00763497"/>
    <w:rsid w:val="0076398A"/>
    <w:rsid w:val="00763C81"/>
    <w:rsid w:val="00763F64"/>
    <w:rsid w:val="007641F0"/>
    <w:rsid w:val="00765A30"/>
    <w:rsid w:val="00765FEC"/>
    <w:rsid w:val="00766D7C"/>
    <w:rsid w:val="00766FC5"/>
    <w:rsid w:val="00767B31"/>
    <w:rsid w:val="00770170"/>
    <w:rsid w:val="00770D80"/>
    <w:rsid w:val="00771119"/>
    <w:rsid w:val="00772399"/>
    <w:rsid w:val="00774C2A"/>
    <w:rsid w:val="00775697"/>
    <w:rsid w:val="00777935"/>
    <w:rsid w:val="00777AA7"/>
    <w:rsid w:val="0078159E"/>
    <w:rsid w:val="0078189B"/>
    <w:rsid w:val="0078294D"/>
    <w:rsid w:val="0078303E"/>
    <w:rsid w:val="00783549"/>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0F"/>
    <w:rsid w:val="007B6052"/>
    <w:rsid w:val="007C0000"/>
    <w:rsid w:val="007C61A4"/>
    <w:rsid w:val="007D00E1"/>
    <w:rsid w:val="007D4FFB"/>
    <w:rsid w:val="007D518F"/>
    <w:rsid w:val="007D526B"/>
    <w:rsid w:val="007D7FF3"/>
    <w:rsid w:val="007E00CC"/>
    <w:rsid w:val="007E0A50"/>
    <w:rsid w:val="007E23D0"/>
    <w:rsid w:val="007E2834"/>
    <w:rsid w:val="007E3535"/>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4AE"/>
    <w:rsid w:val="00830E01"/>
    <w:rsid w:val="00832522"/>
    <w:rsid w:val="00833603"/>
    <w:rsid w:val="00834F25"/>
    <w:rsid w:val="00835038"/>
    <w:rsid w:val="0083634C"/>
    <w:rsid w:val="00837740"/>
    <w:rsid w:val="0084043D"/>
    <w:rsid w:val="008411A7"/>
    <w:rsid w:val="00841404"/>
    <w:rsid w:val="00841685"/>
    <w:rsid w:val="00842CC5"/>
    <w:rsid w:val="00843BC9"/>
    <w:rsid w:val="00844044"/>
    <w:rsid w:val="008444C2"/>
    <w:rsid w:val="00844F45"/>
    <w:rsid w:val="008459DE"/>
    <w:rsid w:val="00845CBB"/>
    <w:rsid w:val="008471B1"/>
    <w:rsid w:val="008477DC"/>
    <w:rsid w:val="00847AD0"/>
    <w:rsid w:val="00847D64"/>
    <w:rsid w:val="00847F38"/>
    <w:rsid w:val="00850FCF"/>
    <w:rsid w:val="00851A44"/>
    <w:rsid w:val="00852CEE"/>
    <w:rsid w:val="00852D0C"/>
    <w:rsid w:val="00852F97"/>
    <w:rsid w:val="008530D7"/>
    <w:rsid w:val="008532E8"/>
    <w:rsid w:val="00855AA5"/>
    <w:rsid w:val="00855C23"/>
    <w:rsid w:val="00860394"/>
    <w:rsid w:val="00860799"/>
    <w:rsid w:val="008614A1"/>
    <w:rsid w:val="00863ADE"/>
    <w:rsid w:val="00864BD7"/>
    <w:rsid w:val="008653B1"/>
    <w:rsid w:val="00866804"/>
    <w:rsid w:val="008669C3"/>
    <w:rsid w:val="00870971"/>
    <w:rsid w:val="00870C65"/>
    <w:rsid w:val="00870CE4"/>
    <w:rsid w:val="008717EB"/>
    <w:rsid w:val="00872A51"/>
    <w:rsid w:val="00873887"/>
    <w:rsid w:val="008774A2"/>
    <w:rsid w:val="0087759C"/>
    <w:rsid w:val="00877CF8"/>
    <w:rsid w:val="00880965"/>
    <w:rsid w:val="008811F7"/>
    <w:rsid w:val="00881450"/>
    <w:rsid w:val="00882276"/>
    <w:rsid w:val="00882516"/>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7A0F"/>
    <w:rsid w:val="008A7E2C"/>
    <w:rsid w:val="008A7E38"/>
    <w:rsid w:val="008B0F6F"/>
    <w:rsid w:val="008B132C"/>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47B"/>
    <w:rsid w:val="008E0B49"/>
    <w:rsid w:val="008E0F2C"/>
    <w:rsid w:val="008E12CF"/>
    <w:rsid w:val="008E12E4"/>
    <w:rsid w:val="008E13D4"/>
    <w:rsid w:val="008E25B3"/>
    <w:rsid w:val="008E27CB"/>
    <w:rsid w:val="008E2CC8"/>
    <w:rsid w:val="008E3719"/>
    <w:rsid w:val="008E406D"/>
    <w:rsid w:val="008E5DD7"/>
    <w:rsid w:val="008F0B43"/>
    <w:rsid w:val="008F3C10"/>
    <w:rsid w:val="008F516E"/>
    <w:rsid w:val="008F54DD"/>
    <w:rsid w:val="008F57B7"/>
    <w:rsid w:val="008F5BD0"/>
    <w:rsid w:val="008F5C19"/>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C6D"/>
    <w:rsid w:val="00924FF0"/>
    <w:rsid w:val="00927273"/>
    <w:rsid w:val="00932670"/>
    <w:rsid w:val="009339B3"/>
    <w:rsid w:val="0093445F"/>
    <w:rsid w:val="00936F0B"/>
    <w:rsid w:val="00941185"/>
    <w:rsid w:val="00942229"/>
    <w:rsid w:val="00944004"/>
    <w:rsid w:val="00945D02"/>
    <w:rsid w:val="00945D96"/>
    <w:rsid w:val="00946E9B"/>
    <w:rsid w:val="00950521"/>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3F12"/>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D95"/>
    <w:rsid w:val="00A51230"/>
    <w:rsid w:val="00A52074"/>
    <w:rsid w:val="00A5273A"/>
    <w:rsid w:val="00A52EA4"/>
    <w:rsid w:val="00A532E8"/>
    <w:rsid w:val="00A542A8"/>
    <w:rsid w:val="00A57FCD"/>
    <w:rsid w:val="00A60CFB"/>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5668"/>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3279"/>
    <w:rsid w:val="00AD4772"/>
    <w:rsid w:val="00AD487C"/>
    <w:rsid w:val="00AD50A5"/>
    <w:rsid w:val="00AD5DE0"/>
    <w:rsid w:val="00AD643E"/>
    <w:rsid w:val="00AD6EE3"/>
    <w:rsid w:val="00AE0EC0"/>
    <w:rsid w:val="00AE2888"/>
    <w:rsid w:val="00AE2A51"/>
    <w:rsid w:val="00AE2F2C"/>
    <w:rsid w:val="00AE3F1E"/>
    <w:rsid w:val="00AE4BDC"/>
    <w:rsid w:val="00AE4EA5"/>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15DA"/>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17481"/>
    <w:rsid w:val="00B2213F"/>
    <w:rsid w:val="00B227B4"/>
    <w:rsid w:val="00B255FD"/>
    <w:rsid w:val="00B25715"/>
    <w:rsid w:val="00B257A7"/>
    <w:rsid w:val="00B26005"/>
    <w:rsid w:val="00B2627F"/>
    <w:rsid w:val="00B2632E"/>
    <w:rsid w:val="00B26F8D"/>
    <w:rsid w:val="00B27377"/>
    <w:rsid w:val="00B30F17"/>
    <w:rsid w:val="00B31E6B"/>
    <w:rsid w:val="00B34491"/>
    <w:rsid w:val="00B34752"/>
    <w:rsid w:val="00B34E18"/>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660C9"/>
    <w:rsid w:val="00B70C1F"/>
    <w:rsid w:val="00B728DE"/>
    <w:rsid w:val="00B73F88"/>
    <w:rsid w:val="00B76736"/>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5130"/>
    <w:rsid w:val="00BC556D"/>
    <w:rsid w:val="00BC668C"/>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4F17"/>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84"/>
    <w:rsid w:val="00C507EA"/>
    <w:rsid w:val="00C5255D"/>
    <w:rsid w:val="00C52D34"/>
    <w:rsid w:val="00C536EE"/>
    <w:rsid w:val="00C54A91"/>
    <w:rsid w:val="00C54B0C"/>
    <w:rsid w:val="00C54E2B"/>
    <w:rsid w:val="00C55182"/>
    <w:rsid w:val="00C55B21"/>
    <w:rsid w:val="00C56845"/>
    <w:rsid w:val="00C56E53"/>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8A9"/>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384"/>
    <w:rsid w:val="00CF0C07"/>
    <w:rsid w:val="00CF256A"/>
    <w:rsid w:val="00CF2D25"/>
    <w:rsid w:val="00CF2E97"/>
    <w:rsid w:val="00CF35A8"/>
    <w:rsid w:val="00CF4477"/>
    <w:rsid w:val="00CF6045"/>
    <w:rsid w:val="00CF66AF"/>
    <w:rsid w:val="00CF75AE"/>
    <w:rsid w:val="00D00A1D"/>
    <w:rsid w:val="00D01F62"/>
    <w:rsid w:val="00D021F2"/>
    <w:rsid w:val="00D027D2"/>
    <w:rsid w:val="00D02EF0"/>
    <w:rsid w:val="00D05C7A"/>
    <w:rsid w:val="00D05D52"/>
    <w:rsid w:val="00D0607E"/>
    <w:rsid w:val="00D0651D"/>
    <w:rsid w:val="00D11263"/>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6B9"/>
    <w:rsid w:val="00D767A3"/>
    <w:rsid w:val="00D77595"/>
    <w:rsid w:val="00D809C8"/>
    <w:rsid w:val="00D81C44"/>
    <w:rsid w:val="00D820DA"/>
    <w:rsid w:val="00D82780"/>
    <w:rsid w:val="00D828F8"/>
    <w:rsid w:val="00D864B2"/>
    <w:rsid w:val="00D866F9"/>
    <w:rsid w:val="00D86A7E"/>
    <w:rsid w:val="00D910A4"/>
    <w:rsid w:val="00D911DC"/>
    <w:rsid w:val="00D9179F"/>
    <w:rsid w:val="00D9209C"/>
    <w:rsid w:val="00D92534"/>
    <w:rsid w:val="00D927F0"/>
    <w:rsid w:val="00D93C7B"/>
    <w:rsid w:val="00D93FC1"/>
    <w:rsid w:val="00D94687"/>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22EB"/>
    <w:rsid w:val="00DC2A2F"/>
    <w:rsid w:val="00DC3D21"/>
    <w:rsid w:val="00DC5234"/>
    <w:rsid w:val="00DC57FD"/>
    <w:rsid w:val="00DC6ECB"/>
    <w:rsid w:val="00DC7DAC"/>
    <w:rsid w:val="00DD077D"/>
    <w:rsid w:val="00DD0BBE"/>
    <w:rsid w:val="00DD1474"/>
    <w:rsid w:val="00DD3898"/>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E011EC"/>
    <w:rsid w:val="00E02A63"/>
    <w:rsid w:val="00E0465A"/>
    <w:rsid w:val="00E04960"/>
    <w:rsid w:val="00E04ED7"/>
    <w:rsid w:val="00E0500E"/>
    <w:rsid w:val="00E06AE8"/>
    <w:rsid w:val="00E06CDB"/>
    <w:rsid w:val="00E078A7"/>
    <w:rsid w:val="00E11F5C"/>
    <w:rsid w:val="00E1236C"/>
    <w:rsid w:val="00E12643"/>
    <w:rsid w:val="00E1465F"/>
    <w:rsid w:val="00E15099"/>
    <w:rsid w:val="00E1684E"/>
    <w:rsid w:val="00E1761D"/>
    <w:rsid w:val="00E2090B"/>
    <w:rsid w:val="00E20960"/>
    <w:rsid w:val="00E21021"/>
    <w:rsid w:val="00E22930"/>
    <w:rsid w:val="00E22EC7"/>
    <w:rsid w:val="00E2367B"/>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C62"/>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E95"/>
    <w:rsid w:val="00E91E28"/>
    <w:rsid w:val="00E92588"/>
    <w:rsid w:val="00E93556"/>
    <w:rsid w:val="00E93900"/>
    <w:rsid w:val="00E94B48"/>
    <w:rsid w:val="00E94C47"/>
    <w:rsid w:val="00E95DEB"/>
    <w:rsid w:val="00E973ED"/>
    <w:rsid w:val="00E97673"/>
    <w:rsid w:val="00EA08B2"/>
    <w:rsid w:val="00EA0B02"/>
    <w:rsid w:val="00EA384D"/>
    <w:rsid w:val="00EA6174"/>
    <w:rsid w:val="00EA68D3"/>
    <w:rsid w:val="00EA72A7"/>
    <w:rsid w:val="00EA7BE4"/>
    <w:rsid w:val="00EA7FB1"/>
    <w:rsid w:val="00EB13A8"/>
    <w:rsid w:val="00EB1D48"/>
    <w:rsid w:val="00EB5D6C"/>
    <w:rsid w:val="00EB606F"/>
    <w:rsid w:val="00EB753B"/>
    <w:rsid w:val="00EB7CA2"/>
    <w:rsid w:val="00EB7D8C"/>
    <w:rsid w:val="00EC0AD2"/>
    <w:rsid w:val="00EC106A"/>
    <w:rsid w:val="00EC1253"/>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2487"/>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37B5B"/>
    <w:rsid w:val="00F40961"/>
    <w:rsid w:val="00F412FA"/>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33DA"/>
    <w:rsid w:val="00F7539B"/>
    <w:rsid w:val="00F7653F"/>
    <w:rsid w:val="00F76713"/>
    <w:rsid w:val="00F81C39"/>
    <w:rsid w:val="00F83828"/>
    <w:rsid w:val="00F83DC5"/>
    <w:rsid w:val="00F85B8E"/>
    <w:rsid w:val="00F900A0"/>
    <w:rsid w:val="00F905F0"/>
    <w:rsid w:val="00F9083F"/>
    <w:rsid w:val="00F90E9C"/>
    <w:rsid w:val="00F912FF"/>
    <w:rsid w:val="00F9158B"/>
    <w:rsid w:val="00F9185E"/>
    <w:rsid w:val="00F928BF"/>
    <w:rsid w:val="00F93EE2"/>
    <w:rsid w:val="00F94073"/>
    <w:rsid w:val="00F94097"/>
    <w:rsid w:val="00F94735"/>
    <w:rsid w:val="00F94D8A"/>
    <w:rsid w:val="00F97A66"/>
    <w:rsid w:val="00FA05C6"/>
    <w:rsid w:val="00FA0958"/>
    <w:rsid w:val="00FA0F07"/>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19B4"/>
    <w:rsid w:val="00FD7071"/>
    <w:rsid w:val="00FE033F"/>
    <w:rsid w:val="00FE14F7"/>
    <w:rsid w:val="00FE1CF6"/>
    <w:rsid w:val="00FE2301"/>
    <w:rsid w:val="00FE2AF1"/>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1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webSettings.xml><?xml version="1.0" encoding="utf-8"?>
<w:webSettings xmlns:r="http://schemas.openxmlformats.org/officeDocument/2006/relationships" xmlns:w="http://schemas.openxmlformats.org/wordprocessingml/2006/main">
  <w:divs>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289484291">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27552384">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24799422">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6299176">
      <w:bodyDiv w:val="1"/>
      <w:marLeft w:val="0"/>
      <w:marRight w:val="0"/>
      <w:marTop w:val="0"/>
      <w:marBottom w:val="0"/>
      <w:divBdr>
        <w:top w:val="none" w:sz="0" w:space="0" w:color="auto"/>
        <w:left w:val="none" w:sz="0" w:space="0" w:color="auto"/>
        <w:bottom w:val="none" w:sz="0" w:space="0" w:color="auto"/>
        <w:right w:val="none" w:sz="0" w:space="0" w:color="auto"/>
      </w:divBdr>
    </w:div>
    <w:div w:id="2037585286">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46708367">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ocal%20Settings/Temporary%20Internet%20Files/OLK39/esta%20%20p&#225;gina" TargetMode="External"/><Relationship Id="rId18" Type="http://schemas.openxmlformats.org/officeDocument/2006/relationships/hyperlink" Target="http://www.ies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se.edu/en/home.asp" TargetMode="External"/><Relationship Id="rId17" Type="http://schemas.openxmlformats.org/officeDocument/2006/relationships/hyperlink" Target="mailto:ccastillejo@iese.edu" TargetMode="External"/><Relationship Id="rId2" Type="http://schemas.openxmlformats.org/officeDocument/2006/relationships/numbering" Target="numbering.xml"/><Relationship Id="rId16" Type="http://schemas.openxmlformats.org/officeDocument/2006/relationships/hyperlink" Target="mailto:sese@iese.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ese.edu/icdm/" TargetMode="External"/><Relationship Id="rId5" Type="http://schemas.openxmlformats.org/officeDocument/2006/relationships/webSettings" Target="webSettings.xml"/><Relationship Id="rId15" Type="http://schemas.openxmlformats.org/officeDocument/2006/relationships/hyperlink" Target="http://twitter.com/MiguelArino"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iese.edu/icdm/?page_id=198" TargetMode="External"/><Relationship Id="rId14" Type="http://schemas.openxmlformats.org/officeDocument/2006/relationships/hyperlink" Target="http://blog.iese.edu/icdm/i3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1302-682B-4AD9-99DB-91B306EC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989</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6365</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MMestres</cp:lastModifiedBy>
  <cp:revision>71</cp:revision>
  <cp:lastPrinted>2013-02-28T12:40:00Z</cp:lastPrinted>
  <dcterms:created xsi:type="dcterms:W3CDTF">2012-10-29T14:06:00Z</dcterms:created>
  <dcterms:modified xsi:type="dcterms:W3CDTF">2013-04-08T11:17:00Z</dcterms:modified>
</cp:coreProperties>
</file>